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E37B0">
      <w:pPr>
        <w:spacing w:beforeLines="0" w:afterLines="0"/>
        <w:jc w:val="center"/>
        <w:rPr>
          <w:rFonts w:hint="eastAsia" w:ascii="思源宋体 CN ExtraLight" w:hAnsi="思源宋体 CN ExtraLight" w:eastAsia="思源宋体 CN ExtraLight" w:cs="思源宋体 CN ExtraLight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47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8A423C">
      <w:pPr>
        <w:pStyle w:val="27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sz w:val="21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46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24" name="图片 9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26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DE1F8E">
                              <w:pPr>
                                <w:spacing w:before="120" w:beforeLines="0" w:after="120" w:afterLines="0"/>
                                <w:rPr>
                                  <w:rFonts w:hint="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38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C66758"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 w14:paraId="6CC8ECA0"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  <w:t>(http://www.epoint.com.cn)</w:t>
                              </w:r>
                            </w:p>
                            <w:p w14:paraId="2A740021">
                              <w:pPr>
                                <w:spacing w:beforeLines="0" w:afterLines="0"/>
                                <w:jc w:val="center"/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P0SZWzXAAAABQEAAA8AAAAAAAAAAQAgAAAAIgAAAGRycy9kb3ducmV2LnhtbFBLAQIUABQAAAAI&#10;AIdO4kAL5UwQ0gIAAHMIAAAOAAAAAAAAAAEAIAAAACYBAABkcnMvZTJvRG9jLnhtbFBLBQYAAAAA&#10;BgAGAFkBAABqBgAAAAA=&#10;">
                <o:lock v:ext="edit" rotation="t" aspectratio="t"/>
                <v:rect id="图片 9" o:spid="_x0000_s1026" o:spt="1" style="position:absolute;left:0;top:0;height:33527;width:55745;" filled="f" stroked="f" coordsize="21600,21600" o:gfxdata="UEsDBAoAAAAAAIdO4kAAAAAAAAAAAAAAAAAEAAAAZHJzL1BLAwQUAAAACACHTuJAoWhorr0AAADb&#10;AAAADwAAAGRycy9kb3ducmV2LnhtbEWPQYvCMBSE7wv+h/CEvSyaKot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Gi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U36ArLsAAADb&#10;AAAADwAAAGRycy9kb3ducmV2LnhtbEWPwW7CMBBE70j8g7WVekHFgQOggMmhAamFE9APWOIljojX&#10;IXYD/D1GQuI4mpk3mkV2s7XoqPWVYwWjYQKCuHC64lLB32H9NQPhA7LG2jEpuJOHbNnvLTDV7so7&#10;6vahFBHCPkUFJoQmldIXhiz6oWuIo3dyrcUQZVtK3eI1wm0tx0kykRYrjgsGG/o2VJz3/1ZBN6Vf&#10;f9ys6JjncmBo1114e1Lq82OUzEEEuoV3+NX+0QrGE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6Ar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7DE1F8E">
                        <w:pPr>
                          <w:spacing w:before="120" w:beforeLines="0" w:after="120" w:afterLines="0"/>
                          <w:rPr>
                            <w:rFonts w:hint="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C66758"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 w14:paraId="6CC8ECA0"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  <w:sz w:val="21"/>
                          </w:rPr>
                          <w:t>(http://www.epoint.com.cn)</w:t>
                        </w:r>
                      </w:p>
                      <w:p w14:paraId="2A740021">
                        <w:pPr>
                          <w:spacing w:beforeLines="0" w:afterLines="0"/>
                          <w:jc w:val="center"/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57A2BCE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99E8445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475201B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4EAF0A6E"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CEA71B">
      <w:pPr>
        <w:ind w:firstLine="0" w:firstLineChars="0"/>
        <w:jc w:val="center"/>
        <w:rPr>
          <w:rFonts w:hint="eastAsia" w:ascii="思源黑体 CN Bold" w:hAnsi="思源黑体 CN Bold" w:eastAsia="思源黑体 CN Bold" w:cs="思源黑体 CN Bold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工程建设</w:t>
      </w:r>
    </w:p>
    <w:p w14:paraId="269FD303">
      <w:pPr>
        <w:ind w:firstLine="0" w:firstLineChars="0"/>
        <w:jc w:val="center"/>
        <w:rPr>
          <w:rFonts w:hint="eastAsia" w:ascii="思源黑体 CN Bold" w:hAnsi="思源黑体 CN Bold" w:eastAsia="思源黑体 CN Bold" w:cs="思源黑体 CN Bold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专家费支付</w:t>
      </w:r>
      <w:r>
        <w:rPr>
          <w:rFonts w:hint="eastAsia" w:ascii="思源黑体 CN Bold" w:hAnsi="思源黑体 CN Bold" w:eastAsia="思源黑体 CN Bold" w:cs="思源黑体 CN Bold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 w14:paraId="4F83EF82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3A318CE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2E8BD49A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6DE343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21B59DD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0F8B4201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1811ED92">
      <w:pPr>
        <w:pStyle w:val="28"/>
        <w:ind w:firstLine="36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6E09072A">
      <w:pPr>
        <w:pStyle w:val="28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 w14:paraId="390DF780">
      <w:pPr>
        <w:pStyle w:val="28"/>
        <w:spacing w:line="240" w:lineRule="auto"/>
        <w:ind w:firstLine="3967" w:firstLineChars="55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bookmarkStart w:id="0" w:name="_Toc27674"/>
      <w:bookmarkStart w:id="1" w:name="_Toc23662"/>
      <w:bookmarkStart w:id="2" w:name="_Toc12576"/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  <w:bookmarkEnd w:id="0"/>
      <w:bookmarkEnd w:id="1"/>
      <w:bookmarkEnd w:id="2"/>
    </w:p>
    <w:p w14:paraId="32DF43D6">
      <w:pPr>
        <w:pStyle w:val="9"/>
        <w:tabs>
          <w:tab w:val="right" w:leader="dot" w:pos="8312"/>
        </w:tabs>
      </w:pPr>
      <w:bookmarkStart w:id="22" w:name="_GoBack"/>
      <w:bookmarkEnd w:id="22"/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_Toc606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szCs w:val="21"/>
          <w:lang w:val="en-US" w:eastAsia="zh-CN"/>
        </w:rPr>
        <w:t>一、 场地预约</w:t>
      </w:r>
      <w:r>
        <w:tab/>
      </w:r>
      <w:r>
        <w:fldChar w:fldCharType="begin"/>
      </w:r>
      <w:r>
        <w:instrText xml:space="preserve"> PAGEREF _Toc606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5401098B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_Toc2856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szCs w:val="21"/>
          <w:lang w:val="en-US"/>
        </w:rPr>
        <w:t xml:space="preserve">二、 </w:t>
      </w:r>
      <w:r>
        <w:rPr>
          <w:rFonts w:hint="eastAsia" w:ascii="思源黑体 CN Normal" w:hAnsi="思源黑体 CN Normal" w:eastAsia="思源黑体 CN Normal" w:cs="思源黑体 CN Normal"/>
          <w:szCs w:val="21"/>
          <w:lang w:val="en-US" w:eastAsia="zh-CN"/>
        </w:rPr>
        <w:t>组建评标委员会</w:t>
      </w:r>
      <w:r>
        <w:tab/>
      </w:r>
      <w:r>
        <w:fldChar w:fldCharType="begin"/>
      </w:r>
      <w:r>
        <w:instrText xml:space="preserve"> PAGEREF _Toc2856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7BEC93CA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_Toc17375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szCs w:val="21"/>
          <w:lang w:val="en-US" w:eastAsia="zh-CN"/>
        </w:rPr>
        <w:t>三、 登录专家费支付系统</w:t>
      </w:r>
      <w:r>
        <w:tab/>
      </w:r>
      <w:r>
        <w:fldChar w:fldCharType="begin"/>
      </w:r>
      <w:r>
        <w:instrText xml:space="preserve"> PAGEREF _Toc17375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239E38D7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_Toc22123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四、 付款人员账号配置</w:t>
      </w:r>
      <w:r>
        <w:tab/>
      </w:r>
      <w:r>
        <w:fldChar w:fldCharType="begin"/>
      </w:r>
      <w:r>
        <w:instrText xml:space="preserve"> PAGEREF _Toc22123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18AFD808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_Toc1760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五、 预估费用</w:t>
      </w:r>
      <w:r>
        <w:tab/>
      </w:r>
      <w:r>
        <w:fldChar w:fldCharType="begin"/>
      </w:r>
      <w:r>
        <w:instrText xml:space="preserve"> PAGEREF _Toc1760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19DE7E8F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_Toc8866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六、 预付款</w:t>
      </w:r>
      <w:r>
        <w:tab/>
      </w:r>
      <w:r>
        <w:fldChar w:fldCharType="begin"/>
      </w:r>
      <w:r>
        <w:instrText xml:space="preserve"> PAGEREF _Toc8866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1E9FBBA3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_Toc22442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七、 确认费用</w:t>
      </w:r>
      <w:r>
        <w:tab/>
      </w:r>
      <w:r>
        <w:fldChar w:fldCharType="begin"/>
      </w:r>
      <w:r>
        <w:instrText xml:space="preserve"> PAGEREF _Toc22442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792262DE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_Toc12436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八、 项目补款</w:t>
      </w:r>
      <w:r>
        <w:tab/>
      </w:r>
      <w:r>
        <w:fldChar w:fldCharType="begin"/>
      </w:r>
      <w:r>
        <w:instrText xml:space="preserve"> PAGEREF _Toc12436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0DEA19C4">
      <w:pPr>
        <w:pStyle w:val="9"/>
        <w:tabs>
          <w:tab w:val="right" w:leader="dot" w:pos="8312"/>
        </w:tabs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instrText xml:space="preserve"> HYPERLINK \l _Toc19203 </w:instrText>
      </w:r>
      <w:r>
        <w:rPr>
          <w:rFonts w:hint="eastAsia" w:ascii="思源宋体 CN ExtraLight" w:hAnsi="思源宋体 CN ExtraLight" w:eastAsia="思源宋体 CN ExtraLight" w:cs="思源宋体 CN ExtraLight"/>
          <w:spacing w:val="200"/>
        </w:rPr>
        <w:fldChar w:fldCharType="separate"/>
      </w:r>
      <w:r>
        <w:rPr>
          <w:rFonts w:hint="eastAsia" w:ascii="思源黑体 CN Normal" w:hAnsi="思源黑体 CN Normal" w:eastAsia="思源黑体 CN Normal" w:cs="思源黑体 CN Normal"/>
          <w:bCs/>
          <w:kern w:val="44"/>
          <w:szCs w:val="21"/>
          <w:lang w:val="en-US" w:eastAsia="zh-CN" w:bidi="ar-SA"/>
        </w:rPr>
        <w:t>九、 项目退款</w:t>
      </w:r>
      <w:r>
        <w:tab/>
      </w:r>
      <w:r>
        <w:fldChar w:fldCharType="begin"/>
      </w:r>
      <w:r>
        <w:instrText xml:space="preserve"> PAGEREF _Toc19203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</w:p>
    <w:p w14:paraId="6FAFBFE4">
      <w:pPr>
        <w:pStyle w:val="28"/>
        <w:spacing w:line="240" w:lineRule="auto"/>
        <w:rPr>
          <w:rFonts w:hint="default" w:eastAsia="思源宋体 CN 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200"/>
          <w14:textFill>
            <w14:solidFill>
              <w14:schemeClr w14:val="tx1"/>
            </w14:solidFill>
          </w14:textFill>
        </w:rPr>
        <w:fldChar w:fldCharType="end"/>
      </w:r>
      <w:bookmarkStart w:id="3" w:name="_Toc12984"/>
      <w:bookmarkStart w:id="4" w:name="_Toc9200"/>
      <w:bookmarkStart w:id="5" w:name="_Toc27907"/>
      <w:bookmarkStart w:id="6" w:name="_Toc26647"/>
      <w:bookmarkStart w:id="7" w:name="_Toc19075"/>
      <w:bookmarkStart w:id="8" w:name="_Toc21645"/>
      <w:bookmarkStart w:id="9" w:name="_Toc27087"/>
    </w:p>
    <w:bookmarkEnd w:id="3"/>
    <w:bookmarkEnd w:id="4"/>
    <w:bookmarkEnd w:id="5"/>
    <w:bookmarkEnd w:id="6"/>
    <w:bookmarkEnd w:id="7"/>
    <w:bookmarkEnd w:id="8"/>
    <w:bookmarkEnd w:id="9"/>
    <w:p w14:paraId="20C469FB">
      <w:pPr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  <w:br w:type="page"/>
      </w:r>
    </w:p>
    <w:p w14:paraId="0B8F1C43">
      <w:pPr>
        <w:pStyle w:val="2"/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</w:pPr>
      <w:bookmarkStart w:id="10" w:name="_Toc606"/>
      <w:r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  <w:t>场地预约</w:t>
      </w:r>
      <w:bookmarkEnd w:id="10"/>
    </w:p>
    <w:p w14:paraId="41027E01">
      <w:pPr>
        <w:ind w:left="0" w:leftChars="0" w:firstLine="420" w:firstLineChars="0"/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  <w:t>场地预约时需填写完整的</w:t>
      </w:r>
      <w:r>
        <w:rPr>
          <w:rFonts w:hint="eastAsia" w:ascii="思源黑体 CN Normal" w:hAnsi="思源黑体 CN Normal" w:eastAsia="思源黑体 CN Normal" w:cs="思源黑体 CN Normal"/>
          <w:b/>
          <w:bCs/>
          <w:sz w:val="21"/>
          <w:szCs w:val="21"/>
          <w:lang w:val="en-US" w:eastAsia="zh-CN"/>
        </w:rPr>
        <w:t>评标专家数</w:t>
      </w:r>
      <w:r>
        <w:rPr>
          <w:rFonts w:hint="eastAsia" w:ascii="思源黑体 CN Normal" w:hAnsi="思源黑体 CN Normal" w:eastAsia="思源黑体 CN Normal" w:cs="思源黑体 CN Normal"/>
          <w:sz w:val="21"/>
          <w:szCs w:val="21"/>
          <w:lang w:val="en-US" w:eastAsia="zh-CN"/>
        </w:rPr>
        <w:t>，包括主场专家及副场专家；</w:t>
      </w:r>
    </w:p>
    <w:p w14:paraId="7A23AE4F">
      <w:pPr>
        <w:pStyle w:val="26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8910" cy="1848485"/>
            <wp:effectExtent l="12700" t="12700" r="2159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8266" b="330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484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59EF8E">
      <w:pPr>
        <w:pStyle w:val="2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1" w:name="_Toc2856"/>
      <w:bookmarkStart w:id="12" w:name="_Toc31171"/>
      <w:bookmarkStart w:id="13" w:name="_Toc5066"/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组建评标委员会</w:t>
      </w:r>
      <w:bookmarkEnd w:id="11"/>
    </w:p>
    <w:p w14:paraId="41F3C011">
      <w:pPr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ind w:firstLine="420" w:firstLineChars="0"/>
        <w:textAlignment w:val="auto"/>
        <w:rPr>
          <w:rFonts w:hint="default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评标专家专家费计算开始时间按照所有专家预计统一签到时间计算，即组建评标委员会中</w:t>
      </w: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评委签到时间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FAA1B3F">
      <w:pPr>
        <w:pStyle w:val="2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39385" cy="1841500"/>
            <wp:effectExtent l="9525" t="9525" r="215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84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41F712">
      <w:pP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95AC63A">
      <w:pPr>
        <w:pStyle w:val="2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7375"/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登录专家费支付系统</w:t>
      </w:r>
      <w:bookmarkEnd w:id="14"/>
    </w:p>
    <w:p w14:paraId="224C2272">
      <w:pPr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1、点击工程建设-发标-专家费支付如下图：</w:t>
      </w:r>
    </w:p>
    <w:bookmarkEnd w:id="12"/>
    <w:bookmarkEnd w:id="13"/>
    <w:p w14:paraId="68B6CE44">
      <w:pPr>
        <w:ind w:left="0" w:leftChars="0" w:firstLine="0" w:firstLineChars="0"/>
      </w:pPr>
      <w:r>
        <w:drawing>
          <wp:inline distT="0" distB="0" distL="114300" distR="114300">
            <wp:extent cx="5205730" cy="1096010"/>
            <wp:effectExtent l="9525" t="9525" r="1714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09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B17271">
      <w:pPr>
        <w:pStyle w:val="26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登录支付系统，点击登录支付系统下方的按钮，可以单点登录到专家费支付平台。</w:t>
      </w:r>
    </w:p>
    <w:p w14:paraId="112B8F0D">
      <w:pPr>
        <w:pStyle w:val="26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状态查询，点击状态查询下方的按钮，可以查询项目状态。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5"/>
        <w:gridCol w:w="5394"/>
      </w:tblGrid>
      <w:tr w14:paraId="400C6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665D988E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eastAsia" w:ascii="Cambria" w:hAnsi="Cambria" w:eastAsia="微软雅黑" w:cs="Cambria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b/>
                <w:bCs/>
                <w:sz w:val="15"/>
                <w:szCs w:val="15"/>
                <w:lang w:val="en-US" w:eastAsia="zh-CN"/>
              </w:rPr>
              <w:t>状态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2E0F23E1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eastAsia" w:ascii="Cambria" w:hAnsi="Cambria" w:eastAsia="微软雅黑" w:cs="Cambria"/>
                <w:b/>
                <w:bCs/>
                <w:sz w:val="15"/>
                <w:szCs w:val="15"/>
              </w:rPr>
            </w:pPr>
            <w:r>
              <w:rPr>
                <w:rFonts w:hint="eastAsia" w:ascii="Cambria" w:hAnsi="Cambria" w:eastAsia="微软雅黑" w:cs="Cambria"/>
                <w:b/>
                <w:bCs/>
                <w:sz w:val="15"/>
                <w:szCs w:val="15"/>
              </w:rPr>
              <w:t>描述</w:t>
            </w:r>
          </w:p>
        </w:tc>
      </w:tr>
      <w:tr w14:paraId="3DDE8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1FF5644A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ascii="Cambria" w:hAnsi="Cambria" w:eastAsia="微软雅黑" w:cs="Cambria"/>
                <w:sz w:val="15"/>
                <w:szCs w:val="15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</w:rPr>
              <w:t>预付款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724C5337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代理机构未完成专家费预付款</w:t>
            </w:r>
          </w:p>
        </w:tc>
      </w:tr>
      <w:tr w14:paraId="2B522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25B309B5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评标中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40BE419A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已</w:t>
            </w:r>
            <w:r>
              <w:rPr>
                <w:rFonts w:hint="eastAsia" w:ascii="Cambria" w:hAnsi="Cambria" w:eastAsia="微软雅黑" w:cs="Cambria"/>
                <w:sz w:val="15"/>
                <w:szCs w:val="15"/>
              </w:rPr>
              <w:t>完成预付款</w:t>
            </w:r>
            <w:r>
              <w:rPr>
                <w:rFonts w:hint="eastAsia" w:ascii="Cambria" w:hAnsi="Cambria" w:eastAsia="微软雅黑" w:cs="Cambria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专家评标中</w:t>
            </w:r>
          </w:p>
        </w:tc>
      </w:tr>
      <w:tr w14:paraId="3565D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635E4EA6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等待确认费用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0A1787B4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专家评标结束，需要代理机构进行费用确认</w:t>
            </w:r>
          </w:p>
        </w:tc>
      </w:tr>
      <w:tr w14:paraId="09C17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7EE80B0B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</w:rPr>
              <w:t>等待</w:t>
            </w: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退款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6E089335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费用确认完成，预付款多于实际费用，向代理机构进行退款</w:t>
            </w:r>
          </w:p>
        </w:tc>
      </w:tr>
      <w:tr w14:paraId="789EE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27F586CA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等待补款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5BD65F62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费用确认完成，预付款少于实际费用，代理机构需进行补款</w:t>
            </w:r>
          </w:p>
        </w:tc>
      </w:tr>
      <w:tr w14:paraId="10279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16FA0B2C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完成退款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327DA90A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向代理机构退款完成</w:t>
            </w:r>
          </w:p>
        </w:tc>
      </w:tr>
      <w:tr w14:paraId="458D1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5" w:type="dxa"/>
            <w:shd w:val="clear" w:color="auto" w:fill="auto"/>
            <w:noWrap w:val="0"/>
            <w:vAlign w:val="top"/>
          </w:tcPr>
          <w:p w14:paraId="57773F49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ascii="Cambria" w:hAnsi="Cambria" w:eastAsia="微软雅黑" w:cs="Cambria"/>
                <w:sz w:val="15"/>
                <w:szCs w:val="15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</w:rPr>
              <w:t>费用结清</w:t>
            </w:r>
          </w:p>
        </w:tc>
        <w:tc>
          <w:tcPr>
            <w:tcW w:w="5394" w:type="dxa"/>
            <w:shd w:val="clear" w:color="auto" w:fill="auto"/>
            <w:noWrap w:val="0"/>
            <w:vAlign w:val="top"/>
          </w:tcPr>
          <w:p w14:paraId="5FE76F55">
            <w:pPr>
              <w:tabs>
                <w:tab w:val="left" w:pos="541"/>
              </w:tabs>
              <w:spacing w:line="240" w:lineRule="auto"/>
              <w:ind w:firstLine="0" w:firstLineChars="0"/>
              <w:jc w:val="center"/>
              <w:rPr>
                <w:rFonts w:hint="default" w:ascii="Cambria" w:hAnsi="Cambria" w:eastAsia="微软雅黑" w:cs="Cambria"/>
                <w:sz w:val="15"/>
                <w:szCs w:val="15"/>
                <w:lang w:val="en-US" w:eastAsia="zh-CN"/>
              </w:rPr>
            </w:pPr>
            <w:r>
              <w:rPr>
                <w:rFonts w:hint="eastAsia" w:ascii="Cambria" w:hAnsi="Cambria" w:eastAsia="微软雅黑" w:cs="Cambria"/>
                <w:sz w:val="15"/>
                <w:szCs w:val="15"/>
                <w:lang w:val="en-US" w:eastAsia="zh-CN"/>
              </w:rPr>
              <w:t>专家费支付完成，已向专家银行卡转账</w:t>
            </w:r>
          </w:p>
        </w:tc>
      </w:tr>
    </w:tbl>
    <w:p w14:paraId="5BCE942C">
      <w:pP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page"/>
      </w:r>
    </w:p>
    <w:p w14:paraId="72E02483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5" w:name="_Toc22123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付款人员账号配置</w:t>
      </w:r>
      <w:bookmarkEnd w:id="15"/>
    </w:p>
    <w:p w14:paraId="56537F84">
      <w:pPr>
        <w:numPr>
          <w:ilvl w:val="0"/>
          <w:numId w:val="3"/>
        </w:numPr>
        <w:ind w:left="0" w:leftChars="0"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登录专家费支付系统，首次登录需完成付款人员账号配置，该账号用于预付费用比实际支付费用多时，退款使用的账户，请准确填写防止影响退款。</w:t>
      </w:r>
    </w:p>
    <w:p w14:paraId="5016109E">
      <w:pPr>
        <w:numPr>
          <w:ilvl w:val="0"/>
          <w:numId w:val="3"/>
        </w:numPr>
        <w:ind w:left="0" w:leftChars="0" w:firstLine="420" w:firstLineChars="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发票信息无需填写，此处发票信息为支付平台手续费开票使用，本次平台专家费支付无手续费，无需填写。</w:t>
      </w:r>
      <w:bookmarkStart w:id="16" w:name="_Toc15374"/>
      <w:r>
        <w:drawing>
          <wp:inline distT="0" distB="0" distL="114300" distR="114300">
            <wp:extent cx="5274945" cy="2604135"/>
            <wp:effectExtent l="9525" t="9525" r="1143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6"/>
    </w:p>
    <w:p w14:paraId="6C65B69E">
      <w:pPr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如退款账户需要录入多个，点击个人中心可以新增多个付款人员账号。</w:t>
      </w:r>
      <w:r>
        <w:drawing>
          <wp:inline distT="0" distB="0" distL="114300" distR="114300">
            <wp:extent cx="5274945" cy="17240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rcRect b="1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0B46CC">
      <w:pP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page"/>
      </w:r>
    </w:p>
    <w:p w14:paraId="08678123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7" w:name="_Toc1760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预估费用</w:t>
      </w:r>
      <w:bookmarkEnd w:id="17"/>
    </w:p>
    <w:p w14:paraId="6C0AF1A0"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1、登录专家费支付系统。</w:t>
      </w:r>
      <w:r>
        <w:rPr>
          <w:rFonts w:hint="eastAsia" w:ascii="思源宋体 CN Light" w:hAnsi="思源宋体 CN Light" w:eastAsia="思源宋体 CN Light" w:cs="思源宋体 CN Light"/>
          <w:b/>
          <w:bCs/>
          <w:color w:val="FF0000"/>
          <w:lang w:val="en-US" w:eastAsia="zh-CN"/>
        </w:rPr>
        <w:t>注：需要完成场地预约项目才在该页面展示。</w:t>
      </w:r>
    </w:p>
    <w:p w14:paraId="4FB7CBA2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76215" cy="1149350"/>
            <wp:effectExtent l="9525" t="9525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4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084C1F">
      <w:pPr>
        <w:pStyle w:val="26"/>
        <w:numPr>
          <w:ilvl w:val="0"/>
          <w:numId w:val="0"/>
        </w:numPr>
        <w:ind w:firstLine="420" w:firstLineChars="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eastAsia="思源宋体 CN Light"/>
          <w:lang w:val="en-US" w:eastAsia="zh-CN"/>
        </w:rPr>
        <w:t>2、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找到项目，点击右侧预估费用按钮。</w:t>
      </w:r>
      <w:r>
        <w:rPr>
          <w:rFonts w:hint="eastAsia" w:ascii="思源宋体 CN Light" w:hAnsi="思源宋体 CN Light" w:eastAsia="思源宋体 CN Light" w:cs="思源宋体 CN Light"/>
          <w:b/>
          <w:bCs/>
          <w:color w:val="FF0000"/>
          <w:lang w:val="en-US" w:eastAsia="zh-CN"/>
        </w:rPr>
        <w:t>注：如果场地预约进行过变更或者取消，需在该页面找得到最新的信息（最上面的为新信息）进行预估。</w:t>
      </w:r>
    </w:p>
    <w:p w14:paraId="59B1AF90"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8120" cy="2386330"/>
            <wp:effectExtent l="9525" t="9525" r="2095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3、确认项目基本信息，确认无误后点击下一步。</w:t>
      </w:r>
    </w:p>
    <w:p w14:paraId="065CFD23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73040" cy="2481580"/>
            <wp:effectExtent l="9525" t="9525" r="1333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1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55B5B5"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Times New Roman" w:eastAsia="思源宋体 CN ExtraLight"/>
          <w:lang w:val="en-US" w:eastAsia="zh-CN"/>
        </w:rPr>
        <w:tab/>
      </w:r>
      <w:r>
        <w:rPr>
          <w:rFonts w:hint="eastAsia"/>
          <w:lang w:val="en-US" w:eastAsia="zh-CN"/>
        </w:rPr>
        <w:t>4、填写预估收费信息，选择预估方式（二选一），填写相应信息后点击确认按钮</w:t>
      </w:r>
      <w:r>
        <w:rPr>
          <w:rFonts w:hint="eastAsia" w:ascii="Times New Roman" w:eastAsia="思源宋体 CN ExtraLight"/>
          <w:lang w:val="en-US" w:eastAsia="zh-CN"/>
        </w:rPr>
        <w:t>。</w:t>
      </w:r>
    </w:p>
    <w:p w14:paraId="50F94842">
      <w:pPr>
        <w:pStyle w:val="2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（1）根据评标时间预估：代理机构可以选择评标开始和预计结束时间，系统自动估算预计使用的评标费用，</w:t>
      </w:r>
      <w:r>
        <w:rPr>
          <w:rFonts w:hint="eastAsia"/>
          <w:b/>
          <w:bCs/>
          <w:lang w:val="en-US" w:eastAsia="zh-CN"/>
        </w:rPr>
        <w:t>适用当天评标结束的项目</w:t>
      </w:r>
      <w:r>
        <w:rPr>
          <w:rFonts w:hint="eastAsia"/>
          <w:lang w:val="en-US" w:eastAsia="zh-CN"/>
        </w:rPr>
        <w:t>；</w:t>
      </w:r>
    </w:p>
    <w:p w14:paraId="24F777B6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9865" cy="2476500"/>
            <wp:effectExtent l="9525" t="9525" r="1651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A0410E">
      <w:pPr>
        <w:pStyle w:val="26"/>
        <w:numPr>
          <w:ilvl w:val="0"/>
          <w:numId w:val="0"/>
        </w:numPr>
        <w:ind w:firstLine="420" w:firstLineChars="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系统会根据选择的预计评标开始时间和结束时间，以及场地预约时填写的专家人数自动进行费用预估。</w:t>
      </w:r>
    </w:p>
    <w:p w14:paraId="3BE4372E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7325" cy="2473325"/>
            <wp:effectExtent l="9525" t="9525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44B859">
      <w:pPr>
        <w:pStyle w:val="26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（2）直接预估总金额：代理机构可以直接填写预估总金额，</w:t>
      </w:r>
      <w:r>
        <w:rPr>
          <w:rFonts w:hint="eastAsia"/>
          <w:b/>
          <w:bCs/>
          <w:lang w:val="en-US" w:eastAsia="zh-CN"/>
        </w:rPr>
        <w:t>适用需要隔夜评标的项目</w:t>
      </w:r>
      <w:r>
        <w:rPr>
          <w:rFonts w:hint="eastAsia"/>
          <w:lang w:val="en-US" w:eastAsia="zh-CN"/>
        </w:rPr>
        <w:t>；</w:t>
      </w:r>
    </w:p>
    <w:p w14:paraId="6B857129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72405" cy="2462530"/>
            <wp:effectExtent l="9525" t="9525" r="1397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2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983796"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Times New Roman" w:eastAsia="思源宋体 CN ExtraLight"/>
          <w:lang w:val="en-US" w:eastAsia="zh-CN"/>
        </w:rPr>
        <w:tab/>
      </w:r>
      <w:r>
        <w:rPr>
          <w:rFonts w:hint="eastAsia"/>
          <w:lang w:val="en-US" w:eastAsia="zh-CN"/>
        </w:rPr>
        <w:t>5</w:t>
      </w:r>
      <w:r>
        <w:rPr>
          <w:rFonts w:hint="eastAsia" w:ascii="Times New Roman" w:eastAsia="思源宋体 CN ExtraLight"/>
          <w:lang w:val="en-US" w:eastAsia="zh-CN"/>
        </w:rPr>
        <w:t>、</w:t>
      </w:r>
      <w:r>
        <w:rPr>
          <w:rFonts w:hint="eastAsia"/>
          <w:lang w:val="en-US" w:eastAsia="zh-CN"/>
        </w:rPr>
        <w:t>点击确认按钮后，系统提示预估完成</w:t>
      </w:r>
      <w:r>
        <w:rPr>
          <w:rFonts w:hint="eastAsia" w:ascii="Times New Roman" w:eastAsia="思源宋体 CN ExtraLight"/>
          <w:lang w:val="en-US" w:eastAsia="zh-CN"/>
        </w:rPr>
        <w:t>。</w:t>
      </w:r>
    </w:p>
    <w:p w14:paraId="289298D8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9865" cy="2467610"/>
            <wp:effectExtent l="9525" t="9525" r="1651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343406">
      <w:pP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page"/>
      </w:r>
    </w:p>
    <w:p w14:paraId="72E1111F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8" w:name="_Toc8866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预付款</w:t>
      </w:r>
      <w:bookmarkEnd w:id="18"/>
    </w:p>
    <w:p w14:paraId="60E67A56">
      <w:pPr>
        <w:pStyle w:val="26"/>
        <w:numPr>
          <w:ilvl w:val="0"/>
          <w:numId w:val="0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1、完成费用预估后，代理机构需要对预估费用进行付款，点击预付款按钮进行预付款页面。</w:t>
      </w:r>
      <w:r>
        <w:rPr>
          <w:rFonts w:hint="eastAsia"/>
          <w:b/>
          <w:bCs/>
          <w:color w:val="FF0000"/>
          <w:lang w:val="en-US" w:eastAsia="zh-CN"/>
        </w:rPr>
        <w:t>注：预付款需要在评标结束前完成，否则专家无法进行评标结束操作。</w:t>
      </w:r>
    </w:p>
    <w:p w14:paraId="6D8D770B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74945" cy="1212215"/>
            <wp:effectExtent l="9525" t="9525" r="1143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1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450F37">
      <w:pPr>
        <w:pStyle w:val="26"/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设置预退款人员，代理机构设置预退款人员保存（预退款人员添加参考手册第四节付款人员账号配置）。</w:t>
      </w:r>
    </w:p>
    <w:p w14:paraId="634BD799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9865" cy="1720850"/>
            <wp:effectExtent l="9525" t="9525" r="1651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E6A2A3">
      <w:pPr>
        <w:pStyle w:val="26"/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预退款人员设置完成后，点击去支付按钮进行支付。</w:t>
      </w:r>
    </w:p>
    <w:p w14:paraId="2DA575AC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7325" cy="788035"/>
            <wp:effectExtent l="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rcRect b="679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8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7776BA">
      <w:pPr>
        <w:pStyle w:val="26"/>
        <w:numPr>
          <w:ilvl w:val="0"/>
          <w:numId w:val="4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费用支付：确认金额选择支付方式进行支付。</w:t>
      </w:r>
    </w:p>
    <w:p w14:paraId="6E58D800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7325" cy="2465070"/>
            <wp:effectExtent l="9525" t="9525" r="19050" b="1460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37655">
      <w:pPr>
        <w:pStyle w:val="26"/>
        <w:numPr>
          <w:ilvl w:val="0"/>
          <w:numId w:val="4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支付完成后，项目状态变为评标中，代理机构可以点击查看详情按钮查看预付款情况。</w:t>
      </w:r>
    </w:p>
    <w:p w14:paraId="7AFC21A8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6690" cy="2386330"/>
            <wp:effectExtent l="9525" t="9525" r="19685" b="171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19F75"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73040" cy="2461895"/>
            <wp:effectExtent l="0" t="0" r="10160" b="190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829F39">
      <w:pP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page"/>
      </w:r>
    </w:p>
    <w:p w14:paraId="2FD04C34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9" w:name="_Toc22442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确认费用</w:t>
      </w:r>
      <w:bookmarkEnd w:id="19"/>
    </w:p>
    <w:p w14:paraId="1F730A9B">
      <w:pPr>
        <w:pStyle w:val="26"/>
        <w:numPr>
          <w:ilvl w:val="0"/>
          <w:numId w:val="5"/>
        </w:numPr>
        <w:ind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评标结束后，状态为等待确认费用，需要代理机构进行费用确认。</w:t>
      </w:r>
      <w:r>
        <w:rPr>
          <w:rFonts w:hint="eastAsia"/>
          <w:b/>
          <w:bCs/>
          <w:color w:val="FF0000"/>
          <w:lang w:val="en-US" w:eastAsia="zh-CN"/>
        </w:rPr>
        <w:t>注：</w:t>
      </w:r>
      <w:r>
        <w:rPr>
          <w:rFonts w:hint="eastAsia" w:ascii="Times New Roman" w:eastAsia="宋体"/>
          <w:b/>
          <w:bCs/>
          <w:color w:val="FF0000"/>
          <w:lang w:val="en-US" w:eastAsia="zh-CN"/>
        </w:rPr>
        <w:t>某一个标段评标结束后此处状态即为等待确认费用，</w:t>
      </w:r>
      <w:r>
        <w:rPr>
          <w:rFonts w:hint="eastAsia"/>
          <w:b/>
          <w:bCs/>
          <w:color w:val="FF0000"/>
          <w:lang w:val="en-US" w:eastAsia="zh-CN"/>
        </w:rPr>
        <w:t>多个标段需要等所有标段全部评标结束后进行费用确认。</w:t>
      </w:r>
    </w:p>
    <w:p w14:paraId="795C4F93">
      <w:pPr>
        <w:pStyle w:val="26"/>
        <w:numPr>
          <w:numId w:val="0"/>
        </w:numPr>
      </w:pPr>
      <w:r>
        <w:drawing>
          <wp:inline distT="0" distB="0" distL="114300" distR="114300">
            <wp:extent cx="5273675" cy="1157605"/>
            <wp:effectExtent l="9525" t="9525" r="1270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5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10A30B">
      <w:pPr>
        <w:pStyle w:val="26"/>
        <w:numPr>
          <w:ilvl w:val="0"/>
          <w:numId w:val="5"/>
        </w:numPr>
        <w:ind w:left="0" w:leftChars="0" w:firstLine="420" w:firstLineChars="0"/>
      </w:pPr>
      <w:r>
        <w:rPr>
          <w:rFonts w:hint="eastAsia"/>
          <w:lang w:val="en-US" w:eastAsia="zh-CN"/>
        </w:rPr>
        <w:t>登录专家费支付平台后，选择对应标段点击确认费用按钮；</w:t>
      </w:r>
      <w:r>
        <w:drawing>
          <wp:inline distT="0" distB="0" distL="114300" distR="114300">
            <wp:extent cx="5266690" cy="1220470"/>
            <wp:effectExtent l="9525" t="9525" r="1968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0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25BB5">
      <w:pPr>
        <w:pStyle w:val="26"/>
        <w:numPr>
          <w:ilvl w:val="0"/>
          <w:numId w:val="5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确认项目基本信息，点击下一步按钮；</w:t>
      </w:r>
    </w:p>
    <w:p w14:paraId="022AB59B">
      <w:pPr>
        <w:pStyle w:val="26"/>
        <w:numPr>
          <w:numId w:val="0"/>
        </w:numPr>
      </w:pPr>
      <w:r>
        <w:drawing>
          <wp:inline distT="0" distB="0" distL="114300" distR="114300">
            <wp:extent cx="5273040" cy="2496185"/>
            <wp:effectExtent l="0" t="0" r="10160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BD7F">
      <w:pPr>
        <w:pStyle w:val="26"/>
        <w:numPr>
          <w:ilvl w:val="0"/>
          <w:numId w:val="5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确认专家签到时间及评标结束时间，如有异常情况可以点击时间修改；</w:t>
      </w:r>
    </w:p>
    <w:p w14:paraId="1930A338">
      <w:pPr>
        <w:pStyle w:val="26"/>
        <w:numPr>
          <w:numId w:val="0"/>
        </w:numPr>
      </w:pPr>
      <w:r>
        <w:drawing>
          <wp:inline distT="0" distB="0" distL="114300" distR="114300">
            <wp:extent cx="5275580" cy="137541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rcRect t="1384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9C66A">
      <w:pPr>
        <w:pStyle w:val="26"/>
        <w:numPr>
          <w:ilvl w:val="0"/>
          <w:numId w:val="5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如果需要修改专家费用，点击调整按钮进行调整；</w:t>
      </w:r>
    </w:p>
    <w:p w14:paraId="43387EDF">
      <w:pPr>
        <w:pStyle w:val="26"/>
        <w:numPr>
          <w:numId w:val="0"/>
        </w:numPr>
      </w:pPr>
      <w:r>
        <w:drawing>
          <wp:inline distT="0" distB="0" distL="114300" distR="114300">
            <wp:extent cx="5273040" cy="2489200"/>
            <wp:effectExtent l="9525" t="9525" r="13335" b="158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AD62B9">
      <w:pPr>
        <w:pStyle w:val="26"/>
        <w:numPr>
          <w:ilvl w:val="0"/>
          <w:numId w:val="5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费用确认无误后，点击下一步进行签字确认；</w:t>
      </w:r>
      <w:r>
        <w:rPr>
          <w:rFonts w:hint="eastAsia"/>
          <w:b/>
          <w:bCs/>
          <w:color w:val="FF0000"/>
          <w:lang w:val="en-US" w:eastAsia="zh-CN"/>
        </w:rPr>
        <w:t>注：当天完成的评标项目可以进行自动计算，隔夜项目需要代理机构计算完成后手动调整金额；</w:t>
      </w:r>
    </w:p>
    <w:p w14:paraId="488D1C57">
      <w:pPr>
        <w:pStyle w:val="26"/>
        <w:numPr>
          <w:numId w:val="0"/>
        </w:numPr>
      </w:pPr>
      <w:r>
        <w:drawing>
          <wp:inline distT="0" distB="0" distL="114300" distR="114300">
            <wp:extent cx="5273040" cy="2487295"/>
            <wp:effectExtent l="9525" t="9525" r="13335" b="1778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7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DE1F4">
      <w:pPr>
        <w:pStyle w:val="26"/>
        <w:numPr>
          <w:ilvl w:val="0"/>
          <w:numId w:val="5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签字确认：代理机构下载费用清单进行签字确认，签字完成后上传电子版；</w:t>
      </w:r>
      <w:r>
        <w:rPr>
          <w:rFonts w:hint="eastAsia"/>
          <w:b/>
          <w:bCs/>
          <w:color w:val="FF0000"/>
          <w:lang w:val="en-US" w:eastAsia="zh-CN"/>
        </w:rPr>
        <w:t>注：上传功能仅作为备案使用，确认人自行确定。</w:t>
      </w:r>
    </w:p>
    <w:p w14:paraId="012FEC66">
      <w:pPr>
        <w:pStyle w:val="26"/>
        <w:numPr>
          <w:numId w:val="0"/>
        </w:numPr>
      </w:pPr>
      <w:r>
        <w:drawing>
          <wp:inline distT="0" distB="0" distL="114300" distR="114300">
            <wp:extent cx="5267325" cy="2094865"/>
            <wp:effectExtent l="9525" t="9525" r="19050" b="1651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rcRect b="162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4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01AF15">
      <w:pPr>
        <w:pStyle w:val="26"/>
        <w:numPr>
          <w:ilvl w:val="0"/>
          <w:numId w:val="5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确认费用：费用确认无误后点击确认按钮提交；</w:t>
      </w:r>
    </w:p>
    <w:p w14:paraId="6DC46BA9">
      <w:pPr>
        <w:pStyle w:val="26"/>
        <w:numPr>
          <w:numId w:val="0"/>
        </w:numPr>
      </w:pPr>
      <w:r>
        <w:drawing>
          <wp:inline distT="0" distB="0" distL="114300" distR="114300">
            <wp:extent cx="5269865" cy="2498725"/>
            <wp:effectExtent l="9525" t="9525" r="16510" b="1905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8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444650">
      <w:pPr>
        <w:pStyle w:val="26"/>
        <w:numPr>
          <w:numId w:val="0"/>
        </w:numPr>
      </w:pPr>
      <w:r>
        <w:drawing>
          <wp:inline distT="0" distB="0" distL="114300" distR="114300">
            <wp:extent cx="5269865" cy="2489835"/>
            <wp:effectExtent l="9525" t="9525" r="16510" b="1524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1AB69">
      <w:pP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br w:type="page"/>
      </w:r>
    </w:p>
    <w:p w14:paraId="285464FA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20" w:name="_Toc12436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项目补款</w:t>
      </w:r>
      <w:bookmarkEnd w:id="20"/>
    </w:p>
    <w:p w14:paraId="6864D0D7">
      <w:pPr>
        <w:pStyle w:val="26"/>
        <w:numPr>
          <w:ilvl w:val="0"/>
          <w:numId w:val="6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如果预付款不足以进行专家费支付，需要代理机构进行补款，点击补款按钮进入界面；</w:t>
      </w:r>
    </w:p>
    <w:p w14:paraId="045EF5A4">
      <w:pPr>
        <w:pStyle w:val="26"/>
        <w:numPr>
          <w:numId w:val="0"/>
        </w:numPr>
      </w:pPr>
      <w:r>
        <w:drawing>
          <wp:inline distT="0" distB="0" distL="114300" distR="114300">
            <wp:extent cx="5273675" cy="1111250"/>
            <wp:effectExtent l="9525" t="9525" r="12700" b="952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1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4B39D4">
      <w:pPr>
        <w:pStyle w:val="26"/>
        <w:numPr>
          <w:ilvl w:val="0"/>
          <w:numId w:val="6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进入系统后确认补款费用，点击去支付按钮进行支付；</w:t>
      </w:r>
    </w:p>
    <w:p w14:paraId="0EAD1D98">
      <w:pPr>
        <w:pStyle w:val="26"/>
        <w:numPr>
          <w:numId w:val="0"/>
        </w:numPr>
      </w:pPr>
      <w:r>
        <w:drawing>
          <wp:inline distT="0" distB="0" distL="114300" distR="114300">
            <wp:extent cx="5275580" cy="2272030"/>
            <wp:effectExtent l="9525" t="9525" r="10795" b="1714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72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EADBD8">
      <w:pPr>
        <w:pStyle w:val="26"/>
        <w:numPr>
          <w:ilvl w:val="0"/>
          <w:numId w:val="6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自行选择支付方式进行支付；</w:t>
      </w:r>
    </w:p>
    <w:p w14:paraId="4268AA3E">
      <w:pPr>
        <w:pStyle w:val="26"/>
        <w:numPr>
          <w:numId w:val="0"/>
        </w:numPr>
      </w:pPr>
      <w:r>
        <w:drawing>
          <wp:inline distT="0" distB="0" distL="114300" distR="114300">
            <wp:extent cx="5269865" cy="1869440"/>
            <wp:effectExtent l="0" t="0" r="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rcRect t="220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03C4F5">
      <w:pPr>
        <w:pStyle w:val="26"/>
        <w:numPr>
          <w:ilvl w:val="0"/>
          <w:numId w:val="6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支付完成后点击查看详情查看项目信息；</w:t>
      </w:r>
    </w:p>
    <w:p w14:paraId="6C073CF3">
      <w:pPr>
        <w:pStyle w:val="26"/>
        <w:numPr>
          <w:numId w:val="0"/>
        </w:numPr>
      </w:pPr>
      <w:r>
        <w:drawing>
          <wp:inline distT="0" distB="0" distL="114300" distR="114300">
            <wp:extent cx="5269865" cy="1089025"/>
            <wp:effectExtent l="9525" t="9525" r="16510" b="1905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AF921A">
      <w:pPr>
        <w:pStyle w:val="26"/>
        <w:numPr>
          <w:ilvl w:val="0"/>
          <w:numId w:val="6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详情页划转状态为专家费是否支付到专家银行卡状态；</w:t>
      </w:r>
    </w:p>
    <w:p w14:paraId="7F45BCAB">
      <w:pPr>
        <w:pStyle w:val="26"/>
        <w:numPr>
          <w:numId w:val="0"/>
        </w:numPr>
      </w:pPr>
      <w:r>
        <w:drawing>
          <wp:inline distT="0" distB="0" distL="114300" distR="114300">
            <wp:extent cx="5269865" cy="2486660"/>
            <wp:effectExtent l="9525" t="9525" r="16510" b="1841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A4EF3">
      <w:pPr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360" w:lineRule="auto"/>
        <w:ind w:left="0" w:firstLine="0" w:firstLineChars="0"/>
        <w:jc w:val="both"/>
        <w:textAlignment w:val="auto"/>
        <w:outlineLvl w:val="0"/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21" w:name="_Toc19203"/>
      <w:r>
        <w:rPr>
          <w:rFonts w:hint="eastAsia" w:ascii="思源黑体 CN Normal" w:hAnsi="思源黑体 CN Normal" w:eastAsia="思源黑体 CN Normal" w:cs="思源黑体 CN Normal"/>
          <w:b/>
          <w:bCs/>
          <w:color w:val="000000" w:themeColor="text1"/>
          <w:kern w:val="44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项目退款</w:t>
      </w:r>
      <w:bookmarkEnd w:id="21"/>
    </w:p>
    <w:p w14:paraId="3950346E">
      <w:pPr>
        <w:pStyle w:val="26"/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按照第七节确认费用完成后，如果预付款多余实际支付专家费，系统将自动将多出费用划转到项目配置的退款人员账户中。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15AD8"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eastAsia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 xml:space="preserve">国泰新点股份软件有限公司  0512-58188000               </w:t>
        </w:r>
      </w:sdtContent>
    </w:sdt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instrText xml:space="preserve">PAGE   \* MERGEFORMAT</w:instrTex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149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 xml:space="preserve"> /</w:t>
    </w:r>
    <w:r>
      <w:rPr>
        <w:rFonts w:hint="eastAsia" w:ascii="思源宋体 CN ExtraLight" w:hAnsi="思源宋体 CN ExtraLight" w:cs="思源宋体 CN ExtraLight"/>
        <w:lang w:val="en-US" w:eastAsia="zh-CN"/>
      </w:rPr>
      <w:t>218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0DC56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313F4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1D939"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inline distT="0" distB="0" distL="114300" distR="114300">
          <wp:extent cx="601980" cy="236220"/>
          <wp:effectExtent l="0" t="0" r="7620" b="7620"/>
          <wp:docPr id="5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eastAsia="思源宋体 CN ExtraLight" w:cs="思源宋体 CN ExtraLight"/>
      </w:rPr>
      <w:t>工程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建设</w:t>
    </w:r>
    <w:r>
      <w:rPr>
        <w:rFonts w:hint="eastAsia" w:ascii="思源宋体 CN ExtraLight" w:hAnsi="思源宋体 CN ExtraLight" w:cs="思源宋体 CN ExtraLight"/>
        <w:lang w:val="en-US" w:eastAsia="zh-CN"/>
      </w:rPr>
      <w:t>专家费支付</w:t>
    </w:r>
    <w:r>
      <w:rPr>
        <w:rFonts w:hint="eastAsia" w:ascii="思源宋体 CN ExtraLight" w:hAnsi="思源宋体 CN ExtraLight" w:eastAsia="思源宋体 CN ExtraLight" w:cs="思源宋体 CN ExtraLight"/>
      </w:rPr>
      <w:t xml:space="preserve">操作手册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4DBC0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8F616"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635206"/>
    <w:multiLevelType w:val="singleLevel"/>
    <w:tmpl w:val="8363520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ED8E889"/>
    <w:multiLevelType w:val="singleLevel"/>
    <w:tmpl w:val="8ED8E88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C5F85E3A"/>
    <w:multiLevelType w:val="singleLevel"/>
    <w:tmpl w:val="C5F85E3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C340DF6"/>
    <w:multiLevelType w:val="singleLevel"/>
    <w:tmpl w:val="1C340DF6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4">
    <w:nsid w:val="41FCCB0B"/>
    <w:multiLevelType w:val="singleLevel"/>
    <w:tmpl w:val="41FCCB0B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OTIwMTVkMWFlZWYwNDQ4N2Y0NDExZWU3MWNiMDcifQ=="/>
  </w:docVars>
  <w:rsids>
    <w:rsidRoot w:val="00172A27"/>
    <w:rsid w:val="001223DB"/>
    <w:rsid w:val="0040208E"/>
    <w:rsid w:val="007161B1"/>
    <w:rsid w:val="008F6B2B"/>
    <w:rsid w:val="00963668"/>
    <w:rsid w:val="00A75600"/>
    <w:rsid w:val="00E63845"/>
    <w:rsid w:val="00EA1EBF"/>
    <w:rsid w:val="00F9257D"/>
    <w:rsid w:val="00FE1F09"/>
    <w:rsid w:val="016C22EC"/>
    <w:rsid w:val="01A67E69"/>
    <w:rsid w:val="01BB6192"/>
    <w:rsid w:val="01C5502E"/>
    <w:rsid w:val="01EF7E4E"/>
    <w:rsid w:val="01F348EA"/>
    <w:rsid w:val="01FD397D"/>
    <w:rsid w:val="026854F8"/>
    <w:rsid w:val="0325732E"/>
    <w:rsid w:val="036450A4"/>
    <w:rsid w:val="03C47806"/>
    <w:rsid w:val="04277401"/>
    <w:rsid w:val="04753641"/>
    <w:rsid w:val="051C2545"/>
    <w:rsid w:val="05B15C15"/>
    <w:rsid w:val="064264A8"/>
    <w:rsid w:val="066B550D"/>
    <w:rsid w:val="068A390F"/>
    <w:rsid w:val="06997421"/>
    <w:rsid w:val="06EF4368"/>
    <w:rsid w:val="0797489E"/>
    <w:rsid w:val="07F863A6"/>
    <w:rsid w:val="084E1C6A"/>
    <w:rsid w:val="08511D7D"/>
    <w:rsid w:val="08574D97"/>
    <w:rsid w:val="085E722A"/>
    <w:rsid w:val="086232B8"/>
    <w:rsid w:val="08FA7700"/>
    <w:rsid w:val="08FB36C2"/>
    <w:rsid w:val="09526ADD"/>
    <w:rsid w:val="09861DCD"/>
    <w:rsid w:val="09A17A84"/>
    <w:rsid w:val="09B06E27"/>
    <w:rsid w:val="09CF0702"/>
    <w:rsid w:val="0A2368BD"/>
    <w:rsid w:val="0AB17A28"/>
    <w:rsid w:val="0AEE5D92"/>
    <w:rsid w:val="0AF30A07"/>
    <w:rsid w:val="0B0B3F8C"/>
    <w:rsid w:val="0B1F0644"/>
    <w:rsid w:val="0B380146"/>
    <w:rsid w:val="0B637B61"/>
    <w:rsid w:val="0B8B7A2B"/>
    <w:rsid w:val="0B9C1B14"/>
    <w:rsid w:val="0BB27A9D"/>
    <w:rsid w:val="0C006A1D"/>
    <w:rsid w:val="0C0E1048"/>
    <w:rsid w:val="0C3429BF"/>
    <w:rsid w:val="0CCB460E"/>
    <w:rsid w:val="0CE63F6A"/>
    <w:rsid w:val="0DBD49CB"/>
    <w:rsid w:val="0E096B18"/>
    <w:rsid w:val="0E32042D"/>
    <w:rsid w:val="0E535721"/>
    <w:rsid w:val="0E8E39F4"/>
    <w:rsid w:val="0EBD4601"/>
    <w:rsid w:val="0EC0632A"/>
    <w:rsid w:val="0F417CBB"/>
    <w:rsid w:val="0F53360D"/>
    <w:rsid w:val="0F5F3EF3"/>
    <w:rsid w:val="0F6E2388"/>
    <w:rsid w:val="0F7C3441"/>
    <w:rsid w:val="0F8B2194"/>
    <w:rsid w:val="103B006D"/>
    <w:rsid w:val="10B6746A"/>
    <w:rsid w:val="11296AFF"/>
    <w:rsid w:val="11483AFF"/>
    <w:rsid w:val="116D2F04"/>
    <w:rsid w:val="118D593F"/>
    <w:rsid w:val="12013497"/>
    <w:rsid w:val="122B3DBB"/>
    <w:rsid w:val="12803151"/>
    <w:rsid w:val="129C61C2"/>
    <w:rsid w:val="12A83D63"/>
    <w:rsid w:val="12BF5AA1"/>
    <w:rsid w:val="12C63F9A"/>
    <w:rsid w:val="12E611F3"/>
    <w:rsid w:val="12E6735C"/>
    <w:rsid w:val="13036210"/>
    <w:rsid w:val="13724A01"/>
    <w:rsid w:val="139E304F"/>
    <w:rsid w:val="14001C1F"/>
    <w:rsid w:val="14132F2E"/>
    <w:rsid w:val="141A2ADF"/>
    <w:rsid w:val="143376FC"/>
    <w:rsid w:val="145410B6"/>
    <w:rsid w:val="14751C91"/>
    <w:rsid w:val="147815B3"/>
    <w:rsid w:val="14A31264"/>
    <w:rsid w:val="14C91F9A"/>
    <w:rsid w:val="164A7926"/>
    <w:rsid w:val="16662128"/>
    <w:rsid w:val="16E54F26"/>
    <w:rsid w:val="17061030"/>
    <w:rsid w:val="174734AB"/>
    <w:rsid w:val="174D7B48"/>
    <w:rsid w:val="177C2C34"/>
    <w:rsid w:val="17BE3DC0"/>
    <w:rsid w:val="17F67B7B"/>
    <w:rsid w:val="180550B5"/>
    <w:rsid w:val="18614F80"/>
    <w:rsid w:val="18623A13"/>
    <w:rsid w:val="18816003"/>
    <w:rsid w:val="18A513ED"/>
    <w:rsid w:val="18DB022E"/>
    <w:rsid w:val="18E65685"/>
    <w:rsid w:val="1944642F"/>
    <w:rsid w:val="19C05F96"/>
    <w:rsid w:val="19C92A3C"/>
    <w:rsid w:val="1A0C49D3"/>
    <w:rsid w:val="1ADF4C63"/>
    <w:rsid w:val="1AFF2A2E"/>
    <w:rsid w:val="1B217106"/>
    <w:rsid w:val="1B423C0E"/>
    <w:rsid w:val="1B6C5A44"/>
    <w:rsid w:val="1BB0602A"/>
    <w:rsid w:val="1BEF594B"/>
    <w:rsid w:val="1C176926"/>
    <w:rsid w:val="1C505D3B"/>
    <w:rsid w:val="1C685860"/>
    <w:rsid w:val="1C895C5A"/>
    <w:rsid w:val="1CCA0434"/>
    <w:rsid w:val="1D4E4921"/>
    <w:rsid w:val="1DFF70BF"/>
    <w:rsid w:val="1E1B0A97"/>
    <w:rsid w:val="1E59323C"/>
    <w:rsid w:val="1E693F5B"/>
    <w:rsid w:val="1E9319F3"/>
    <w:rsid w:val="1F182311"/>
    <w:rsid w:val="1F8E612F"/>
    <w:rsid w:val="1FC82491"/>
    <w:rsid w:val="1FCC18EC"/>
    <w:rsid w:val="2020091D"/>
    <w:rsid w:val="2031368A"/>
    <w:rsid w:val="20AC67DD"/>
    <w:rsid w:val="21205A11"/>
    <w:rsid w:val="21265E9D"/>
    <w:rsid w:val="213E5B14"/>
    <w:rsid w:val="218C36DD"/>
    <w:rsid w:val="225C2514"/>
    <w:rsid w:val="22A70AD6"/>
    <w:rsid w:val="22F67C9C"/>
    <w:rsid w:val="23150786"/>
    <w:rsid w:val="231F1450"/>
    <w:rsid w:val="23CE047A"/>
    <w:rsid w:val="23DF72B0"/>
    <w:rsid w:val="2409256C"/>
    <w:rsid w:val="244A2747"/>
    <w:rsid w:val="246834A0"/>
    <w:rsid w:val="246D2675"/>
    <w:rsid w:val="24A57CB8"/>
    <w:rsid w:val="24A8310A"/>
    <w:rsid w:val="24C25DC9"/>
    <w:rsid w:val="250C0222"/>
    <w:rsid w:val="26084A40"/>
    <w:rsid w:val="26E15679"/>
    <w:rsid w:val="270424FF"/>
    <w:rsid w:val="27550E8B"/>
    <w:rsid w:val="276B1648"/>
    <w:rsid w:val="277328F5"/>
    <w:rsid w:val="27755154"/>
    <w:rsid w:val="27A13B6E"/>
    <w:rsid w:val="28017332"/>
    <w:rsid w:val="2825188E"/>
    <w:rsid w:val="28315CEB"/>
    <w:rsid w:val="28372BD7"/>
    <w:rsid w:val="28553C8E"/>
    <w:rsid w:val="28836145"/>
    <w:rsid w:val="288F0084"/>
    <w:rsid w:val="28B8246B"/>
    <w:rsid w:val="290336EA"/>
    <w:rsid w:val="290D165C"/>
    <w:rsid w:val="290F6157"/>
    <w:rsid w:val="29BF38A4"/>
    <w:rsid w:val="29E96D83"/>
    <w:rsid w:val="2A297180"/>
    <w:rsid w:val="2A80625B"/>
    <w:rsid w:val="2AA97DB2"/>
    <w:rsid w:val="2ACD6FF4"/>
    <w:rsid w:val="2ADA2CD5"/>
    <w:rsid w:val="2B057E77"/>
    <w:rsid w:val="2B104CBE"/>
    <w:rsid w:val="2B197A8E"/>
    <w:rsid w:val="2B671E8B"/>
    <w:rsid w:val="2BF01BA9"/>
    <w:rsid w:val="2BF533E7"/>
    <w:rsid w:val="2C0E585C"/>
    <w:rsid w:val="2C1C7741"/>
    <w:rsid w:val="2C3E5941"/>
    <w:rsid w:val="2C803252"/>
    <w:rsid w:val="2CA74C2E"/>
    <w:rsid w:val="2D157BDC"/>
    <w:rsid w:val="2D2E1097"/>
    <w:rsid w:val="2D5269EE"/>
    <w:rsid w:val="2D71772F"/>
    <w:rsid w:val="2DD60E6B"/>
    <w:rsid w:val="2E0C4559"/>
    <w:rsid w:val="2E0F1CA7"/>
    <w:rsid w:val="2E275B4F"/>
    <w:rsid w:val="2E5F163E"/>
    <w:rsid w:val="2E7B76B3"/>
    <w:rsid w:val="2E90180C"/>
    <w:rsid w:val="2ECA4056"/>
    <w:rsid w:val="2ED555D3"/>
    <w:rsid w:val="2F277E16"/>
    <w:rsid w:val="2F311B61"/>
    <w:rsid w:val="2F4B51CC"/>
    <w:rsid w:val="2F903BA3"/>
    <w:rsid w:val="2FE44CFC"/>
    <w:rsid w:val="301852F5"/>
    <w:rsid w:val="30300E70"/>
    <w:rsid w:val="304F1948"/>
    <w:rsid w:val="305670AE"/>
    <w:rsid w:val="30CC4D09"/>
    <w:rsid w:val="3113197B"/>
    <w:rsid w:val="319D6683"/>
    <w:rsid w:val="31A4364D"/>
    <w:rsid w:val="31EE728B"/>
    <w:rsid w:val="31FA6770"/>
    <w:rsid w:val="3221751C"/>
    <w:rsid w:val="324234D5"/>
    <w:rsid w:val="32672F3B"/>
    <w:rsid w:val="32F57635"/>
    <w:rsid w:val="32FD30DB"/>
    <w:rsid w:val="33384B15"/>
    <w:rsid w:val="333A23FE"/>
    <w:rsid w:val="33773E94"/>
    <w:rsid w:val="33D84B63"/>
    <w:rsid w:val="342D5C2F"/>
    <w:rsid w:val="34657EA4"/>
    <w:rsid w:val="34685053"/>
    <w:rsid w:val="35116114"/>
    <w:rsid w:val="35705CCE"/>
    <w:rsid w:val="35BF3CA1"/>
    <w:rsid w:val="35F10F01"/>
    <w:rsid w:val="35F83386"/>
    <w:rsid w:val="36844EAA"/>
    <w:rsid w:val="36D16BD5"/>
    <w:rsid w:val="37151B83"/>
    <w:rsid w:val="3742137B"/>
    <w:rsid w:val="374342B4"/>
    <w:rsid w:val="377270C2"/>
    <w:rsid w:val="37A31AF3"/>
    <w:rsid w:val="382E12AC"/>
    <w:rsid w:val="38A772D5"/>
    <w:rsid w:val="38D3046D"/>
    <w:rsid w:val="38E3651F"/>
    <w:rsid w:val="3A0867D1"/>
    <w:rsid w:val="3A101E46"/>
    <w:rsid w:val="3A4B1713"/>
    <w:rsid w:val="3A654204"/>
    <w:rsid w:val="3A6A3F6F"/>
    <w:rsid w:val="3AC87D00"/>
    <w:rsid w:val="3B064674"/>
    <w:rsid w:val="3B3546C9"/>
    <w:rsid w:val="3B524CD4"/>
    <w:rsid w:val="3B9B36C9"/>
    <w:rsid w:val="3BFD4593"/>
    <w:rsid w:val="3D00005C"/>
    <w:rsid w:val="3D2F071F"/>
    <w:rsid w:val="3D321840"/>
    <w:rsid w:val="3D352F3B"/>
    <w:rsid w:val="3D4C7FA7"/>
    <w:rsid w:val="3D680705"/>
    <w:rsid w:val="3E0D2EDC"/>
    <w:rsid w:val="3E393B42"/>
    <w:rsid w:val="3E4972C8"/>
    <w:rsid w:val="3E6261C1"/>
    <w:rsid w:val="3E885C5C"/>
    <w:rsid w:val="3EB36EBE"/>
    <w:rsid w:val="3EE427EB"/>
    <w:rsid w:val="3EE65802"/>
    <w:rsid w:val="3F154220"/>
    <w:rsid w:val="3F533E5D"/>
    <w:rsid w:val="3FE85651"/>
    <w:rsid w:val="4027183A"/>
    <w:rsid w:val="40863111"/>
    <w:rsid w:val="40C81580"/>
    <w:rsid w:val="411105D7"/>
    <w:rsid w:val="411A32AC"/>
    <w:rsid w:val="411A37A0"/>
    <w:rsid w:val="41541B00"/>
    <w:rsid w:val="425821FD"/>
    <w:rsid w:val="425A0A73"/>
    <w:rsid w:val="42721EA8"/>
    <w:rsid w:val="42D66C73"/>
    <w:rsid w:val="42EC5687"/>
    <w:rsid w:val="43276610"/>
    <w:rsid w:val="43396D3E"/>
    <w:rsid w:val="43C86D24"/>
    <w:rsid w:val="43F26637"/>
    <w:rsid w:val="44237492"/>
    <w:rsid w:val="44477C42"/>
    <w:rsid w:val="44993D31"/>
    <w:rsid w:val="449B1E76"/>
    <w:rsid w:val="44A3149B"/>
    <w:rsid w:val="44BC6B09"/>
    <w:rsid w:val="45256299"/>
    <w:rsid w:val="45660207"/>
    <w:rsid w:val="45A31E02"/>
    <w:rsid w:val="45D04A00"/>
    <w:rsid w:val="45D05897"/>
    <w:rsid w:val="46407D9C"/>
    <w:rsid w:val="464867E6"/>
    <w:rsid w:val="4663698A"/>
    <w:rsid w:val="467713D0"/>
    <w:rsid w:val="468E4984"/>
    <w:rsid w:val="472158A5"/>
    <w:rsid w:val="477A5E1E"/>
    <w:rsid w:val="477F7B7E"/>
    <w:rsid w:val="47B73097"/>
    <w:rsid w:val="47F37802"/>
    <w:rsid w:val="48092745"/>
    <w:rsid w:val="481A2D3C"/>
    <w:rsid w:val="482E3373"/>
    <w:rsid w:val="48362052"/>
    <w:rsid w:val="48943C93"/>
    <w:rsid w:val="4894757E"/>
    <w:rsid w:val="48B63973"/>
    <w:rsid w:val="48BF5422"/>
    <w:rsid w:val="48E05EE7"/>
    <w:rsid w:val="490002A0"/>
    <w:rsid w:val="494E08CE"/>
    <w:rsid w:val="496369DA"/>
    <w:rsid w:val="49FF4577"/>
    <w:rsid w:val="49FF72CA"/>
    <w:rsid w:val="4A3F1C82"/>
    <w:rsid w:val="4A593FC0"/>
    <w:rsid w:val="4A680C8F"/>
    <w:rsid w:val="4AE04997"/>
    <w:rsid w:val="4AEA0627"/>
    <w:rsid w:val="4B0329D1"/>
    <w:rsid w:val="4B1D2CEE"/>
    <w:rsid w:val="4B7A21BC"/>
    <w:rsid w:val="4BD45E35"/>
    <w:rsid w:val="4C084E57"/>
    <w:rsid w:val="4C3C312F"/>
    <w:rsid w:val="4C5069E6"/>
    <w:rsid w:val="4CF51B7B"/>
    <w:rsid w:val="4CF768CC"/>
    <w:rsid w:val="4D515B64"/>
    <w:rsid w:val="4DB150F3"/>
    <w:rsid w:val="4DBC549C"/>
    <w:rsid w:val="4E1E6FB3"/>
    <w:rsid w:val="4E363CC0"/>
    <w:rsid w:val="4E462DC1"/>
    <w:rsid w:val="4E6914C6"/>
    <w:rsid w:val="4E6E0B74"/>
    <w:rsid w:val="4EBA097E"/>
    <w:rsid w:val="4F024462"/>
    <w:rsid w:val="4F2F6541"/>
    <w:rsid w:val="4F4A6AED"/>
    <w:rsid w:val="4F717EA3"/>
    <w:rsid w:val="501E4F32"/>
    <w:rsid w:val="501F1883"/>
    <w:rsid w:val="503B121C"/>
    <w:rsid w:val="503D17D4"/>
    <w:rsid w:val="50471F6C"/>
    <w:rsid w:val="50B734D4"/>
    <w:rsid w:val="51581A4D"/>
    <w:rsid w:val="515851EF"/>
    <w:rsid w:val="51DA348D"/>
    <w:rsid w:val="51E51A20"/>
    <w:rsid w:val="51E71AE9"/>
    <w:rsid w:val="5200303B"/>
    <w:rsid w:val="5234236B"/>
    <w:rsid w:val="527B01AE"/>
    <w:rsid w:val="52D814A0"/>
    <w:rsid w:val="536E55AE"/>
    <w:rsid w:val="53DF4F09"/>
    <w:rsid w:val="540C2643"/>
    <w:rsid w:val="546D21DB"/>
    <w:rsid w:val="54F63F7F"/>
    <w:rsid w:val="55366E15"/>
    <w:rsid w:val="556E1D65"/>
    <w:rsid w:val="560C3D02"/>
    <w:rsid w:val="560F5BF9"/>
    <w:rsid w:val="563034C0"/>
    <w:rsid w:val="5642624B"/>
    <w:rsid w:val="56983FB3"/>
    <w:rsid w:val="569D23FC"/>
    <w:rsid w:val="56AF65D0"/>
    <w:rsid w:val="570B1838"/>
    <w:rsid w:val="571D222F"/>
    <w:rsid w:val="576866C7"/>
    <w:rsid w:val="57AC6B77"/>
    <w:rsid w:val="57B16DB6"/>
    <w:rsid w:val="57B976AF"/>
    <w:rsid w:val="58174433"/>
    <w:rsid w:val="58260675"/>
    <w:rsid w:val="5863305B"/>
    <w:rsid w:val="586E02D0"/>
    <w:rsid w:val="58723F74"/>
    <w:rsid w:val="588B1AB7"/>
    <w:rsid w:val="58F133BE"/>
    <w:rsid w:val="59413C36"/>
    <w:rsid w:val="597F4E21"/>
    <w:rsid w:val="59E378A2"/>
    <w:rsid w:val="5A0B30F5"/>
    <w:rsid w:val="5A1434FC"/>
    <w:rsid w:val="5A810938"/>
    <w:rsid w:val="5C386094"/>
    <w:rsid w:val="5CCC5DED"/>
    <w:rsid w:val="5D3757B0"/>
    <w:rsid w:val="5D715BC0"/>
    <w:rsid w:val="5D901255"/>
    <w:rsid w:val="5DB26D11"/>
    <w:rsid w:val="5DC43804"/>
    <w:rsid w:val="5DD95426"/>
    <w:rsid w:val="5E0A1A4A"/>
    <w:rsid w:val="5E2A6A47"/>
    <w:rsid w:val="5E515569"/>
    <w:rsid w:val="5E703EB8"/>
    <w:rsid w:val="5ED64758"/>
    <w:rsid w:val="5EDA7A28"/>
    <w:rsid w:val="5F0E333B"/>
    <w:rsid w:val="5F154676"/>
    <w:rsid w:val="5F3E06DA"/>
    <w:rsid w:val="5F7F5D0E"/>
    <w:rsid w:val="5F944AF3"/>
    <w:rsid w:val="5FD43CD6"/>
    <w:rsid w:val="5FD90725"/>
    <w:rsid w:val="5FF9796D"/>
    <w:rsid w:val="60003917"/>
    <w:rsid w:val="60037EAC"/>
    <w:rsid w:val="60360B52"/>
    <w:rsid w:val="603B13E0"/>
    <w:rsid w:val="60813091"/>
    <w:rsid w:val="60A031A4"/>
    <w:rsid w:val="60A342BC"/>
    <w:rsid w:val="60A65809"/>
    <w:rsid w:val="60DA4D9B"/>
    <w:rsid w:val="61066913"/>
    <w:rsid w:val="6112776B"/>
    <w:rsid w:val="6127143E"/>
    <w:rsid w:val="614C0013"/>
    <w:rsid w:val="622D71FF"/>
    <w:rsid w:val="62B20D96"/>
    <w:rsid w:val="632A1B43"/>
    <w:rsid w:val="633141A7"/>
    <w:rsid w:val="639C1214"/>
    <w:rsid w:val="639D565E"/>
    <w:rsid w:val="63BD3EBA"/>
    <w:rsid w:val="63C92552"/>
    <w:rsid w:val="63FD5BFA"/>
    <w:rsid w:val="640600B1"/>
    <w:rsid w:val="640F2D1B"/>
    <w:rsid w:val="64553B1D"/>
    <w:rsid w:val="64811B9C"/>
    <w:rsid w:val="64D86CE7"/>
    <w:rsid w:val="657861CA"/>
    <w:rsid w:val="65AA7631"/>
    <w:rsid w:val="65BA189C"/>
    <w:rsid w:val="66731548"/>
    <w:rsid w:val="66AE6BEA"/>
    <w:rsid w:val="677871A4"/>
    <w:rsid w:val="685B6879"/>
    <w:rsid w:val="68E819D9"/>
    <w:rsid w:val="6914744A"/>
    <w:rsid w:val="6956246E"/>
    <w:rsid w:val="6A2C2BCC"/>
    <w:rsid w:val="6A350723"/>
    <w:rsid w:val="6AB35880"/>
    <w:rsid w:val="6B302439"/>
    <w:rsid w:val="6B824366"/>
    <w:rsid w:val="6BD546F0"/>
    <w:rsid w:val="6BE67E34"/>
    <w:rsid w:val="6BE97983"/>
    <w:rsid w:val="6C083F39"/>
    <w:rsid w:val="6C30791F"/>
    <w:rsid w:val="6C597CAD"/>
    <w:rsid w:val="6D24654F"/>
    <w:rsid w:val="6D305851"/>
    <w:rsid w:val="6D4D3078"/>
    <w:rsid w:val="6D535020"/>
    <w:rsid w:val="6D706BAF"/>
    <w:rsid w:val="6D9B61E6"/>
    <w:rsid w:val="6E3348B6"/>
    <w:rsid w:val="6E386F5E"/>
    <w:rsid w:val="6E3A5F81"/>
    <w:rsid w:val="6EBD001B"/>
    <w:rsid w:val="6ED15AA2"/>
    <w:rsid w:val="6F2B6AC3"/>
    <w:rsid w:val="6F54508A"/>
    <w:rsid w:val="6F7D320F"/>
    <w:rsid w:val="6F9F5010"/>
    <w:rsid w:val="6FE2478A"/>
    <w:rsid w:val="6FEB0909"/>
    <w:rsid w:val="70433998"/>
    <w:rsid w:val="706E1E7B"/>
    <w:rsid w:val="70707EE3"/>
    <w:rsid w:val="70743E7D"/>
    <w:rsid w:val="70C2183B"/>
    <w:rsid w:val="71326024"/>
    <w:rsid w:val="71645191"/>
    <w:rsid w:val="71E3341D"/>
    <w:rsid w:val="71F242A8"/>
    <w:rsid w:val="72082777"/>
    <w:rsid w:val="723E0CD5"/>
    <w:rsid w:val="724D02FF"/>
    <w:rsid w:val="728C3878"/>
    <w:rsid w:val="72B91368"/>
    <w:rsid w:val="7363015E"/>
    <w:rsid w:val="7370739B"/>
    <w:rsid w:val="739F0CD1"/>
    <w:rsid w:val="73C72DF2"/>
    <w:rsid w:val="73C976BB"/>
    <w:rsid w:val="73CA4FC6"/>
    <w:rsid w:val="73ED4C8A"/>
    <w:rsid w:val="740C0D96"/>
    <w:rsid w:val="742E2A8B"/>
    <w:rsid w:val="743371BC"/>
    <w:rsid w:val="75060F87"/>
    <w:rsid w:val="750641BE"/>
    <w:rsid w:val="751B02E7"/>
    <w:rsid w:val="754B5271"/>
    <w:rsid w:val="75E033DC"/>
    <w:rsid w:val="763355F8"/>
    <w:rsid w:val="76851DB3"/>
    <w:rsid w:val="768607B8"/>
    <w:rsid w:val="76886763"/>
    <w:rsid w:val="76955109"/>
    <w:rsid w:val="76F76AC9"/>
    <w:rsid w:val="77132617"/>
    <w:rsid w:val="78662FA9"/>
    <w:rsid w:val="787E1450"/>
    <w:rsid w:val="788976F0"/>
    <w:rsid w:val="78A60A86"/>
    <w:rsid w:val="78CC0544"/>
    <w:rsid w:val="791F57B4"/>
    <w:rsid w:val="793D1624"/>
    <w:rsid w:val="79566B1C"/>
    <w:rsid w:val="795B17FA"/>
    <w:rsid w:val="79964E12"/>
    <w:rsid w:val="79A21192"/>
    <w:rsid w:val="7A0134A7"/>
    <w:rsid w:val="7A574C10"/>
    <w:rsid w:val="7AA55316"/>
    <w:rsid w:val="7AB542EE"/>
    <w:rsid w:val="7B444E2C"/>
    <w:rsid w:val="7B683655"/>
    <w:rsid w:val="7BA37017"/>
    <w:rsid w:val="7BB045D8"/>
    <w:rsid w:val="7BBA7205"/>
    <w:rsid w:val="7BD81D81"/>
    <w:rsid w:val="7C012E40"/>
    <w:rsid w:val="7C6E6C1B"/>
    <w:rsid w:val="7C905B4A"/>
    <w:rsid w:val="7CC41F99"/>
    <w:rsid w:val="7CCA6A7C"/>
    <w:rsid w:val="7D23502F"/>
    <w:rsid w:val="7D3830D9"/>
    <w:rsid w:val="7DB85A46"/>
    <w:rsid w:val="7E1370A0"/>
    <w:rsid w:val="7E284390"/>
    <w:rsid w:val="7E607688"/>
    <w:rsid w:val="7EBB610D"/>
    <w:rsid w:val="7ECF2CC0"/>
    <w:rsid w:val="7EEF509E"/>
    <w:rsid w:val="7FC033F3"/>
    <w:rsid w:val="7FC34561"/>
    <w:rsid w:val="7FE353A0"/>
    <w:rsid w:val="7FE6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1">
    <w:name w:val="Normal (Web)"/>
    <w:basedOn w:val="1"/>
    <w:autoRedefine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basedOn w:val="13"/>
    <w:qFormat/>
    <w:uiPriority w:val="0"/>
    <w:rPr>
      <w:color w:val="0000FF"/>
      <w:u w:val="non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样式 首行缩进:  2 字符"/>
    <w:basedOn w:val="1"/>
    <w:autoRedefine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customStyle="1" w:styleId="27">
    <w:name w:val="1"/>
    <w:basedOn w:val="1"/>
    <w:link w:val="34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1">
    <w:name w:val="List Paragraph"/>
    <w:basedOn w:val="1"/>
    <w:qFormat/>
    <w:uiPriority w:val="34"/>
  </w:style>
  <w:style w:type="paragraph" w:customStyle="1" w:styleId="32">
    <w:name w:val="mini-messagebox-msg"/>
    <w:basedOn w:val="1"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33">
    <w:name w:val="mini-outputtext1"/>
    <w:basedOn w:val="13"/>
    <w:qFormat/>
    <w:uiPriority w:val="0"/>
  </w:style>
  <w:style w:type="character" w:customStyle="1" w:styleId="34">
    <w:name w:val="1 Char"/>
    <w:link w:val="27"/>
    <w:qFormat/>
    <w:uiPriority w:val="0"/>
  </w:style>
  <w:style w:type="character" w:customStyle="1" w:styleId="35">
    <w:name w:val="hover"/>
    <w:basedOn w:val="13"/>
    <w:qFormat/>
    <w:uiPriority w:val="0"/>
  </w:style>
  <w:style w:type="character" w:customStyle="1" w:styleId="36">
    <w:name w:val="hover1"/>
    <w:basedOn w:val="13"/>
    <w:qFormat/>
    <w:uiPriority w:val="0"/>
    <w:rPr>
      <w:color w:val="2590EB"/>
    </w:rPr>
  </w:style>
  <w:style w:type="character" w:customStyle="1" w:styleId="37">
    <w:name w:val="hover2"/>
    <w:basedOn w:val="13"/>
    <w:qFormat/>
    <w:uiPriority w:val="0"/>
    <w:rPr>
      <w:color w:val="2590E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国泰新点股份软件有限公司  0512-58188000               </Company>
  <Pages>15</Pages>
  <Words>1075</Words>
  <Characters>1075</Characters>
  <Lines>0</Lines>
  <Paragraphs>0</Paragraphs>
  <TotalTime>0</TotalTime>
  <ScaleCrop>false</ScaleCrop>
  <LinksUpToDate>false</LinksUpToDate>
  <CharactersWithSpaces>1090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2018-08-10T05:52:00Z</dcterms:created>
  <dc:creator>﹎ωǒ们偠开鈊</dc:creator>
  <cp:lastModifiedBy>hlj17</cp:lastModifiedBy>
  <dcterms:modified xsi:type="dcterms:W3CDTF">2024-08-19T12:41:16Z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62D693149AD942A09A35ABACBCE49D4A</vt:lpwstr>
  </property>
</Properties>
</file>