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ascii="Times New Roman" w:hAnsi="Times New Roman"/>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topLinePunct/>
        <w:spacing w:line="400" w:lineRule="atLeast"/>
        <w:jc w:val="center"/>
        <w:rPr>
          <w:rStyle w:val="40"/>
          <w:rFonts w:hint="eastAsia" w:ascii="黑体" w:hAnsi="黑体" w:eastAsia="黑体" w:cs="黑体"/>
          <w:spacing w:val="38"/>
          <w:kern w:val="10"/>
          <w:sz w:val="72"/>
          <w:szCs w:val="84"/>
        </w:rPr>
      </w:pPr>
      <w:r>
        <w:rPr>
          <w:rStyle w:val="40"/>
          <w:rFonts w:hint="eastAsia" w:ascii="黑体" w:hAnsi="黑体" w:eastAsia="黑体" w:cs="黑体"/>
          <w:spacing w:val="38"/>
          <w:kern w:val="10"/>
          <w:sz w:val="72"/>
          <w:szCs w:val="84"/>
        </w:rPr>
        <w:t>标准材料采购招标文件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rFonts w:hint="eastAsia" w:ascii="黑体" w:eastAsia="黑体"/>
          <w:sz w:val="52"/>
          <w:szCs w:val="52"/>
          <w:lang w:eastAsia="zh-CN"/>
        </w:rPr>
        <w:t>（</w:t>
      </w:r>
      <w:r>
        <w:rPr>
          <w:rFonts w:hint="eastAsia" w:ascii="黑体" w:eastAsia="黑体"/>
          <w:sz w:val="52"/>
          <w:szCs w:val="52"/>
          <w:lang w:val="en-US" w:eastAsia="zh-CN"/>
        </w:rPr>
        <w:t>适用于评定分离</w:t>
      </w:r>
      <w:r>
        <w:rPr>
          <w:rFonts w:hint="eastAsia" w:ascii="黑体" w:eastAsia="黑体"/>
          <w:sz w:val="52"/>
          <w:szCs w:val="52"/>
          <w:lang w:eastAsia="zh-CN"/>
        </w:rPr>
        <w:t>）</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一、《标准材料采购招标文件》适用于材料采购招标。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材料采购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材料采购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四、《标准材料采购招标文件》第三章“评标办法”分别规定综合评估法和</w:t>
      </w:r>
      <w:r>
        <w:rPr>
          <w:rFonts w:hint="eastAsia" w:ascii="Times New Roman" w:hAnsi="Times New Roman" w:eastAsiaTheme="minorEastAsia"/>
          <w:sz w:val="24"/>
          <w:szCs w:val="24"/>
          <w:lang w:val="en-US" w:eastAsia="zh-CN"/>
        </w:rPr>
        <w:t>定性评审</w:t>
      </w:r>
      <w:r>
        <w:rPr>
          <w:rFonts w:ascii="Times New Roman" w:hAnsi="Times New Roman" w:eastAsiaTheme="minorEastAsia"/>
          <w:sz w:val="24"/>
          <w:szCs w:val="24"/>
        </w:rPr>
        <w:t>法两种评标方法，供招标人根据招标项目具体特点和实际需要选择适用。招标人选择适用综合评估法的，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五、《标准材料采购招标文件》第</w:t>
      </w:r>
      <w:r>
        <w:rPr>
          <w:rFonts w:hint="eastAsia" w:ascii="Times New Roman" w:hAnsi="Times New Roman" w:eastAsiaTheme="minorEastAsia"/>
          <w:sz w:val="24"/>
          <w:szCs w:val="24"/>
          <w:lang w:val="en-US" w:eastAsia="zh-CN"/>
        </w:rPr>
        <w:t>六</w:t>
      </w:r>
      <w:r>
        <w:rPr>
          <w:rFonts w:ascii="Times New Roman" w:hAnsi="Times New Roman" w:eastAsiaTheme="minorEastAsia"/>
          <w:sz w:val="24"/>
          <w:szCs w:val="24"/>
        </w:rPr>
        <w:t>章“</w:t>
      </w:r>
      <w:r>
        <w:rPr>
          <w:rFonts w:ascii="Times New Roman" w:hAnsi="Times New Roman" w:eastAsiaTheme="minorEastAsia"/>
          <w:sz w:val="24"/>
        </w:rPr>
        <w:t>供货</w:t>
      </w:r>
      <w:r>
        <w:rPr>
          <w:rFonts w:ascii="Times New Roman" w:hAnsi="Times New Roman" w:eastAsiaTheme="minorEastAsia"/>
          <w:sz w:val="24"/>
          <w:szCs w:val="24"/>
        </w:rPr>
        <w:t>要求”由招标人根据行业标准</w:t>
      </w:r>
      <w:r>
        <w:rPr>
          <w:rFonts w:ascii="Times New Roman" w:hAnsi="Times New Roman" w:eastAsiaTheme="minorEastAsia"/>
          <w:sz w:val="24"/>
        </w:rPr>
        <w:t>材料采购</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七、《标准材料采购招标文件》为20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pStyle w:val="6"/>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44974479"/>
      <w:bookmarkStart w:id="1" w:name="_Toc152045511"/>
      <w:bookmarkStart w:id="2" w:name="_Toc152042287"/>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3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材料采购范本2023</w:t>
      </w:r>
      <w:r>
        <w:rPr>
          <w:rFonts w:ascii="宋体" w:hAnsi="宋体"/>
          <w:b/>
          <w:color w:val="auto"/>
          <w:sz w:val="52"/>
          <w:szCs w:val="52"/>
        </w:rPr>
        <w:br w:type="page"/>
      </w:r>
      <w:r>
        <w:rPr>
          <w:rFonts w:ascii="Times New Roman" w:hAnsi="Times New Roman" w:eastAsia="黑体"/>
          <w:b w:val="0"/>
          <w:color w:val="auto"/>
          <w:lang w:val="zh-CN"/>
        </w:rPr>
        <w:t>目  录</w:t>
      </w:r>
    </w:p>
    <w:p>
      <w:pPr>
        <w:pStyle w:val="18"/>
        <w:tabs>
          <w:tab w:val="right" w:leader="dot" w:pos="8630"/>
        </w:tabs>
        <w:jc w:val="center"/>
        <w:rPr>
          <w:rFonts w:ascii="Times New Roman" w:hAnsi="Times New Roman"/>
        </w:rPr>
      </w:pP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TOC \o "1-3" \h \z \u </w:instrText>
      </w:r>
      <w:r>
        <w:rPr>
          <w:rFonts w:hint="eastAsia" w:ascii="黑体" w:hAnsi="黑体" w:eastAsia="黑体" w:cs="黑体"/>
        </w:rPr>
        <w:fldChar w:fldCharType="separate"/>
      </w:r>
      <w:r>
        <w:rPr>
          <w:rFonts w:hint="eastAsia" w:ascii="黑体" w:hAnsi="黑体" w:eastAsia="黑体" w:cs="黑体"/>
        </w:rPr>
        <w:fldChar w:fldCharType="begin"/>
      </w:r>
      <w:r>
        <w:rPr>
          <w:rFonts w:hint="eastAsia" w:ascii="黑体" w:hAnsi="黑体" w:eastAsia="黑体" w:cs="黑体"/>
        </w:rPr>
        <w:instrText xml:space="preserve"> HYPERLINK \l _Toc28138 </w:instrText>
      </w:r>
      <w:r>
        <w:rPr>
          <w:rFonts w:hint="eastAsia" w:ascii="黑体" w:hAnsi="黑体" w:eastAsia="黑体" w:cs="黑体"/>
        </w:rPr>
        <w:fldChar w:fldCharType="separate"/>
      </w:r>
      <w:r>
        <w:rPr>
          <w:rFonts w:hint="eastAsia" w:ascii="黑体" w:hAnsi="黑体" w:eastAsia="黑体" w:cs="黑体"/>
        </w:rPr>
        <w:t>第一章招标公告</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_Toc28138 \h </w:instrText>
      </w:r>
      <w:r>
        <w:rPr>
          <w:rFonts w:hint="eastAsia" w:ascii="黑体" w:hAnsi="黑体" w:eastAsia="黑体" w:cs="黑体"/>
        </w:rPr>
        <w:fldChar w:fldCharType="separate"/>
      </w:r>
      <w:r>
        <w:rPr>
          <w:rFonts w:hint="eastAsia" w:ascii="黑体" w:hAnsi="黑体" w:eastAsia="黑体" w:cs="黑体"/>
        </w:rPr>
        <w:t>7</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_Toc24243 </w:instrText>
      </w:r>
      <w:r>
        <w:rPr>
          <w:rFonts w:hint="eastAsia" w:ascii="黑体" w:hAnsi="黑体" w:eastAsia="黑体" w:cs="黑体"/>
        </w:rPr>
        <w:fldChar w:fldCharType="separate"/>
      </w:r>
      <w:r>
        <w:rPr>
          <w:rFonts w:hint="eastAsia" w:ascii="黑体" w:hAnsi="黑体" w:eastAsia="黑体" w:cs="黑体"/>
        </w:rPr>
        <w:t>第二章投标人须知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_Toc24243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_Toc4073 </w:instrText>
      </w:r>
      <w:r>
        <w:rPr>
          <w:rFonts w:hint="eastAsia" w:ascii="黑体" w:hAnsi="黑体" w:eastAsia="黑体" w:cs="黑体"/>
        </w:rPr>
        <w:fldChar w:fldCharType="separate"/>
      </w:r>
      <w:r>
        <w:rPr>
          <w:rFonts w:hint="eastAsia" w:ascii="黑体" w:hAnsi="黑体" w:eastAsia="黑体" w:cs="黑体"/>
        </w:rPr>
        <w:t>投标人须知前附表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_Toc4073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_Toc647 </w:instrText>
      </w:r>
      <w:r>
        <w:rPr>
          <w:rFonts w:hint="eastAsia" w:ascii="黑体" w:hAnsi="黑体" w:eastAsia="黑体" w:cs="黑体"/>
        </w:rPr>
        <w:fldChar w:fldCharType="separate"/>
      </w:r>
      <w:r>
        <w:rPr>
          <w:rFonts w:hint="eastAsia" w:ascii="黑体" w:hAnsi="黑体" w:eastAsia="黑体" w:cs="黑体"/>
        </w:rPr>
        <w:t>1. 总则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_Toc647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_Toc9498 </w:instrText>
      </w:r>
      <w:r>
        <w:rPr>
          <w:rFonts w:hint="eastAsia" w:ascii="黑体" w:hAnsi="黑体" w:eastAsia="黑体" w:cs="黑体"/>
        </w:rPr>
        <w:fldChar w:fldCharType="separate"/>
      </w:r>
      <w:r>
        <w:rPr>
          <w:rFonts w:hint="eastAsia" w:ascii="黑体" w:hAnsi="黑体" w:eastAsia="黑体" w:cs="黑体"/>
        </w:rPr>
        <w:t>1.1 招标项目概况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_Toc9498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_Toc26255 </w:instrText>
      </w:r>
      <w:r>
        <w:rPr>
          <w:rFonts w:hint="eastAsia" w:ascii="黑体" w:hAnsi="黑体" w:eastAsia="黑体" w:cs="黑体"/>
        </w:rPr>
        <w:fldChar w:fldCharType="separate"/>
      </w:r>
      <w:r>
        <w:rPr>
          <w:rFonts w:hint="eastAsia" w:ascii="黑体" w:hAnsi="黑体" w:eastAsia="黑体" w:cs="黑体"/>
        </w:rPr>
        <w:t>1.2 招标项目的资金来源和落实情况</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_Toc26255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_Toc7508 </w:instrText>
      </w:r>
      <w:r>
        <w:rPr>
          <w:rFonts w:hint="eastAsia" w:ascii="黑体" w:hAnsi="黑体" w:eastAsia="黑体" w:cs="黑体"/>
        </w:rPr>
        <w:fldChar w:fldCharType="separate"/>
      </w:r>
      <w:r>
        <w:rPr>
          <w:rFonts w:hint="eastAsia" w:ascii="黑体" w:hAnsi="黑体" w:eastAsia="黑体" w:cs="黑体"/>
        </w:rPr>
        <w:t>1.3招标范围、交货期、交货地点和质量标准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_Toc7508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_Toc25475 </w:instrText>
      </w:r>
      <w:r>
        <w:rPr>
          <w:rFonts w:hint="eastAsia" w:ascii="黑体" w:hAnsi="黑体" w:eastAsia="黑体" w:cs="黑体"/>
        </w:rPr>
        <w:fldChar w:fldCharType="separate"/>
      </w:r>
      <w:r>
        <w:rPr>
          <w:rFonts w:hint="eastAsia" w:ascii="黑体" w:hAnsi="黑体" w:eastAsia="黑体" w:cs="黑体"/>
        </w:rPr>
        <w:t>1.4投标人资格要求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_Toc25475 \h </w:instrText>
      </w:r>
      <w:r>
        <w:rPr>
          <w:rFonts w:hint="eastAsia" w:ascii="黑体" w:hAnsi="黑体" w:eastAsia="黑体" w:cs="黑体"/>
        </w:rPr>
        <w:fldChar w:fldCharType="separate"/>
      </w:r>
      <w:r>
        <w:rPr>
          <w:rFonts w:hint="eastAsia" w:ascii="黑体" w:hAnsi="黑体" w:eastAsia="黑体" w:cs="黑体"/>
        </w:rPr>
        <w:t>16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_Toc32176 </w:instrText>
      </w:r>
      <w:r>
        <w:rPr>
          <w:rFonts w:hint="eastAsia" w:ascii="黑体" w:hAnsi="黑体" w:eastAsia="黑体" w:cs="黑体"/>
        </w:rPr>
        <w:fldChar w:fldCharType="separate"/>
      </w:r>
      <w:r>
        <w:rPr>
          <w:rFonts w:hint="eastAsia" w:ascii="黑体" w:hAnsi="黑体" w:eastAsia="黑体" w:cs="黑体"/>
        </w:rPr>
        <w:t>1.5 费用承担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_Toc32176 \h </w:instrText>
      </w:r>
      <w:r>
        <w:rPr>
          <w:rFonts w:hint="eastAsia" w:ascii="黑体" w:hAnsi="黑体" w:eastAsia="黑体" w:cs="黑体"/>
        </w:rPr>
        <w:fldChar w:fldCharType="separate"/>
      </w:r>
      <w:r>
        <w:rPr>
          <w:rFonts w:hint="eastAsia" w:ascii="黑体" w:hAnsi="黑体" w:eastAsia="黑体" w:cs="黑体"/>
        </w:rPr>
        <w:t>17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_Toc9327 </w:instrText>
      </w:r>
      <w:r>
        <w:rPr>
          <w:rFonts w:hint="eastAsia" w:ascii="黑体" w:hAnsi="黑体" w:eastAsia="黑体" w:cs="黑体"/>
        </w:rPr>
        <w:fldChar w:fldCharType="separate"/>
      </w:r>
      <w:r>
        <w:rPr>
          <w:rFonts w:hint="eastAsia" w:ascii="黑体" w:hAnsi="黑体" w:eastAsia="黑体" w:cs="黑体"/>
        </w:rPr>
        <w:t>1.6保密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_Toc9327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_Toc24074 </w:instrText>
      </w:r>
      <w:r>
        <w:rPr>
          <w:rFonts w:hint="eastAsia" w:ascii="黑体" w:hAnsi="黑体" w:eastAsia="黑体" w:cs="黑体"/>
        </w:rPr>
        <w:fldChar w:fldCharType="separate"/>
      </w:r>
      <w:r>
        <w:rPr>
          <w:rFonts w:hint="eastAsia" w:ascii="黑体" w:hAnsi="黑体" w:eastAsia="黑体" w:cs="黑体"/>
        </w:rPr>
        <w:t>1.7 语言文字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_Toc24074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_Toc16030 </w:instrText>
      </w:r>
      <w:r>
        <w:rPr>
          <w:rFonts w:hint="eastAsia" w:ascii="黑体" w:hAnsi="黑体" w:eastAsia="黑体" w:cs="黑体"/>
        </w:rPr>
        <w:fldChar w:fldCharType="separate"/>
      </w:r>
      <w:r>
        <w:rPr>
          <w:rFonts w:hint="eastAsia" w:ascii="黑体" w:hAnsi="黑体" w:eastAsia="黑体" w:cs="黑体"/>
        </w:rPr>
        <w:t>1.8计量单位</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_Toc16030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_Toc28644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lang w:val="en-US" w:eastAsia="zh-CN"/>
        </w:rPr>
        <w:t>9</w:t>
      </w:r>
      <w:r>
        <w:rPr>
          <w:rFonts w:hint="eastAsia" w:ascii="黑体" w:hAnsi="黑体" w:eastAsia="黑体" w:cs="黑体"/>
        </w:rPr>
        <w:t xml:space="preserve"> 分包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_Toc28644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_Toc12672 </w:instrText>
      </w:r>
      <w:r>
        <w:rPr>
          <w:rFonts w:hint="eastAsia" w:ascii="黑体" w:hAnsi="黑体" w:eastAsia="黑体" w:cs="黑体"/>
        </w:rPr>
        <w:fldChar w:fldCharType="separate"/>
      </w:r>
      <w:r>
        <w:rPr>
          <w:rFonts w:hint="eastAsia" w:ascii="黑体" w:hAnsi="黑体" w:eastAsia="黑体" w:cs="黑体"/>
        </w:rPr>
        <w:t>1.1</w:t>
      </w:r>
      <w:r>
        <w:rPr>
          <w:rFonts w:hint="eastAsia" w:ascii="黑体" w:hAnsi="黑体" w:eastAsia="黑体" w:cs="黑体"/>
          <w:lang w:val="en-US" w:eastAsia="zh-CN"/>
        </w:rPr>
        <w:t>0</w:t>
      </w:r>
      <w:r>
        <w:rPr>
          <w:rFonts w:hint="eastAsia" w:ascii="黑体" w:hAnsi="黑体" w:eastAsia="黑体" w:cs="黑体"/>
        </w:rPr>
        <w:t>响应和偏差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_Toc12672 \h </w:instrText>
      </w:r>
      <w:r>
        <w:rPr>
          <w:rFonts w:hint="eastAsia" w:ascii="黑体" w:hAnsi="黑体" w:eastAsia="黑体" w:cs="黑体"/>
        </w:rPr>
        <w:fldChar w:fldCharType="separate"/>
      </w:r>
      <w:r>
        <w:rPr>
          <w:rFonts w:hint="eastAsia" w:ascii="黑体" w:hAnsi="黑体" w:eastAsia="黑体" w:cs="黑体"/>
        </w:rPr>
        <w:t>18</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_Toc16659 </w:instrText>
      </w:r>
      <w:r>
        <w:rPr>
          <w:rFonts w:hint="eastAsia" w:ascii="黑体" w:hAnsi="黑体" w:eastAsia="黑体" w:cs="黑体"/>
        </w:rPr>
        <w:fldChar w:fldCharType="separate"/>
      </w:r>
      <w:r>
        <w:rPr>
          <w:rFonts w:hint="eastAsia" w:ascii="黑体" w:hAnsi="黑体" w:eastAsia="黑体" w:cs="黑体"/>
        </w:rPr>
        <w:t>2. 招标文件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_Toc16659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_Toc22290 </w:instrText>
      </w:r>
      <w:r>
        <w:rPr>
          <w:rFonts w:hint="eastAsia" w:ascii="黑体" w:hAnsi="黑体" w:eastAsia="黑体" w:cs="黑体"/>
        </w:rPr>
        <w:fldChar w:fldCharType="separate"/>
      </w:r>
      <w:r>
        <w:rPr>
          <w:rFonts w:hint="eastAsia" w:ascii="黑体" w:hAnsi="黑体" w:eastAsia="黑体" w:cs="黑体"/>
        </w:rPr>
        <w:t>2.1 招标文件的组成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_Toc22290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_Toc16668 </w:instrText>
      </w:r>
      <w:r>
        <w:rPr>
          <w:rFonts w:hint="eastAsia" w:ascii="黑体" w:hAnsi="黑体" w:eastAsia="黑体" w:cs="黑体"/>
        </w:rPr>
        <w:fldChar w:fldCharType="separate"/>
      </w:r>
      <w:r>
        <w:rPr>
          <w:rFonts w:hint="eastAsia" w:ascii="黑体" w:hAnsi="黑体" w:eastAsia="黑体" w:cs="黑体"/>
        </w:rPr>
        <w:t>2.2 招标文件的澄清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_Toc16668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_Toc20574 </w:instrText>
      </w:r>
      <w:r>
        <w:rPr>
          <w:rFonts w:hint="eastAsia" w:ascii="黑体" w:hAnsi="黑体" w:eastAsia="黑体" w:cs="黑体"/>
        </w:rPr>
        <w:fldChar w:fldCharType="separate"/>
      </w:r>
      <w:r>
        <w:rPr>
          <w:rFonts w:hint="eastAsia" w:ascii="黑体" w:hAnsi="黑体" w:eastAsia="黑体" w:cs="黑体"/>
        </w:rPr>
        <w:t>2.3 招标文件的修改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_Toc20574 \h </w:instrText>
      </w:r>
      <w:r>
        <w:rPr>
          <w:rFonts w:hint="eastAsia" w:ascii="黑体" w:hAnsi="黑体" w:eastAsia="黑体" w:cs="黑体"/>
        </w:rPr>
        <w:fldChar w:fldCharType="separate"/>
      </w:r>
      <w:r>
        <w:rPr>
          <w:rFonts w:hint="eastAsia" w:ascii="黑体" w:hAnsi="黑体" w:eastAsia="黑体" w:cs="黑体"/>
        </w:rPr>
        <w:t>19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_Toc1577 </w:instrText>
      </w:r>
      <w:r>
        <w:rPr>
          <w:rFonts w:hint="eastAsia" w:ascii="黑体" w:hAnsi="黑体" w:eastAsia="黑体" w:cs="黑体"/>
        </w:rPr>
        <w:fldChar w:fldCharType="separate"/>
      </w:r>
      <w:r>
        <w:rPr>
          <w:rFonts w:hint="eastAsia" w:ascii="黑体" w:hAnsi="黑体" w:eastAsia="黑体" w:cs="黑体"/>
        </w:rPr>
        <w:t>2.4 招标文件的异议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_Toc1577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_Toc5888 </w:instrText>
      </w:r>
      <w:r>
        <w:rPr>
          <w:rFonts w:hint="eastAsia" w:ascii="黑体" w:hAnsi="黑体" w:eastAsia="黑体" w:cs="黑体"/>
        </w:rPr>
        <w:fldChar w:fldCharType="separate"/>
      </w:r>
      <w:r>
        <w:rPr>
          <w:rFonts w:hint="eastAsia" w:ascii="黑体" w:hAnsi="黑体" w:eastAsia="黑体" w:cs="黑体"/>
        </w:rPr>
        <w:t>3. 投标文件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_Toc5888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_Toc30466 </w:instrText>
      </w:r>
      <w:r>
        <w:rPr>
          <w:rFonts w:hint="eastAsia" w:ascii="黑体" w:hAnsi="黑体" w:eastAsia="黑体" w:cs="黑体"/>
        </w:rPr>
        <w:fldChar w:fldCharType="separate"/>
      </w:r>
      <w:r>
        <w:rPr>
          <w:rFonts w:hint="eastAsia" w:ascii="黑体" w:hAnsi="黑体" w:eastAsia="黑体" w:cs="黑体"/>
        </w:rPr>
        <w:t>3.1 投标文件的组成</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_Toc30466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_Toc25561 </w:instrText>
      </w:r>
      <w:r>
        <w:rPr>
          <w:rFonts w:hint="eastAsia" w:ascii="黑体" w:hAnsi="黑体" w:eastAsia="黑体" w:cs="黑体"/>
        </w:rPr>
        <w:fldChar w:fldCharType="separate"/>
      </w:r>
      <w:r>
        <w:rPr>
          <w:rFonts w:hint="eastAsia" w:ascii="黑体" w:hAnsi="黑体" w:eastAsia="黑体" w:cs="黑体"/>
        </w:rPr>
        <w:t>3.2 投标报价</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_Toc25561 \h </w:instrText>
      </w:r>
      <w:r>
        <w:rPr>
          <w:rFonts w:hint="eastAsia" w:ascii="黑体" w:hAnsi="黑体" w:eastAsia="黑体" w:cs="黑体"/>
        </w:rPr>
        <w:fldChar w:fldCharType="separate"/>
      </w:r>
      <w:r>
        <w:rPr>
          <w:rFonts w:hint="eastAsia" w:ascii="黑体" w:hAnsi="黑体" w:eastAsia="黑体" w:cs="黑体"/>
        </w:rPr>
        <w:t>20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_Toc26989 </w:instrText>
      </w:r>
      <w:r>
        <w:rPr>
          <w:rFonts w:hint="eastAsia" w:ascii="黑体" w:hAnsi="黑体" w:eastAsia="黑体" w:cs="黑体"/>
        </w:rPr>
        <w:fldChar w:fldCharType="separate"/>
      </w:r>
      <w:r>
        <w:rPr>
          <w:rFonts w:hint="eastAsia" w:ascii="黑体" w:hAnsi="黑体" w:eastAsia="黑体" w:cs="黑体"/>
        </w:rPr>
        <w:t>3.3 投标有效期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_Toc26989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_Toc23639 </w:instrText>
      </w:r>
      <w:r>
        <w:rPr>
          <w:rFonts w:hint="eastAsia" w:ascii="黑体" w:hAnsi="黑体" w:eastAsia="黑体" w:cs="黑体"/>
        </w:rPr>
        <w:fldChar w:fldCharType="separate"/>
      </w:r>
      <w:r>
        <w:rPr>
          <w:rFonts w:hint="eastAsia" w:ascii="黑体" w:hAnsi="黑体" w:eastAsia="黑体" w:cs="黑体"/>
        </w:rPr>
        <w:t>3.4 投标保证金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_Toc23639 \h </w:instrText>
      </w:r>
      <w:r>
        <w:rPr>
          <w:rFonts w:hint="eastAsia" w:ascii="黑体" w:hAnsi="黑体" w:eastAsia="黑体" w:cs="黑体"/>
        </w:rPr>
        <w:fldChar w:fldCharType="separate"/>
      </w:r>
      <w:r>
        <w:rPr>
          <w:rFonts w:hint="eastAsia" w:ascii="黑体" w:hAnsi="黑体" w:eastAsia="黑体" w:cs="黑体"/>
        </w:rPr>
        <w:t>21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_Toc218 </w:instrText>
      </w:r>
      <w:r>
        <w:rPr>
          <w:rFonts w:hint="eastAsia" w:ascii="黑体" w:hAnsi="黑体" w:eastAsia="黑体" w:cs="黑体"/>
        </w:rPr>
        <w:fldChar w:fldCharType="separate"/>
      </w:r>
      <w:r>
        <w:rPr>
          <w:rFonts w:hint="eastAsia" w:ascii="黑体" w:hAnsi="黑体" w:eastAsia="黑体" w:cs="黑体"/>
        </w:rPr>
        <w:t>3.5 资格审查资料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_Toc218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_Toc17145 </w:instrText>
      </w:r>
      <w:r>
        <w:rPr>
          <w:rFonts w:hint="eastAsia" w:ascii="黑体" w:hAnsi="黑体" w:eastAsia="黑体" w:cs="黑体"/>
        </w:rPr>
        <w:fldChar w:fldCharType="separate"/>
      </w:r>
      <w:r>
        <w:rPr>
          <w:rFonts w:hint="eastAsia" w:ascii="黑体" w:hAnsi="黑体" w:eastAsia="黑体" w:cs="黑体"/>
        </w:rPr>
        <w:t>3.6 备选投标方案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_Toc17145 \h </w:instrText>
      </w:r>
      <w:r>
        <w:rPr>
          <w:rFonts w:hint="eastAsia" w:ascii="黑体" w:hAnsi="黑体" w:eastAsia="黑体" w:cs="黑体"/>
        </w:rPr>
        <w:fldChar w:fldCharType="separate"/>
      </w:r>
      <w:r>
        <w:rPr>
          <w:rFonts w:hint="eastAsia" w:ascii="黑体" w:hAnsi="黑体" w:eastAsia="黑体" w:cs="黑体"/>
        </w:rPr>
        <w:t>22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_Toc14168 </w:instrText>
      </w:r>
      <w:r>
        <w:rPr>
          <w:rFonts w:hint="eastAsia" w:ascii="黑体" w:hAnsi="黑体" w:eastAsia="黑体" w:cs="黑体"/>
        </w:rPr>
        <w:fldChar w:fldCharType="separate"/>
      </w:r>
      <w:r>
        <w:rPr>
          <w:rFonts w:hint="eastAsia" w:ascii="黑体" w:hAnsi="黑体" w:eastAsia="黑体" w:cs="黑体"/>
        </w:rPr>
        <w:t>3.7 投标文件的编制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_Toc14168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_Toc3320 </w:instrText>
      </w:r>
      <w:r>
        <w:rPr>
          <w:rFonts w:hint="eastAsia" w:ascii="黑体" w:hAnsi="黑体" w:eastAsia="黑体" w:cs="黑体"/>
        </w:rPr>
        <w:fldChar w:fldCharType="separate"/>
      </w:r>
      <w:r>
        <w:rPr>
          <w:rFonts w:hint="eastAsia" w:ascii="黑体" w:hAnsi="黑体" w:eastAsia="黑体" w:cs="黑体"/>
        </w:rPr>
        <w:t>4. 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_Toc3320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_Toc2835 </w:instrText>
      </w:r>
      <w:r>
        <w:rPr>
          <w:rFonts w:hint="eastAsia" w:ascii="黑体" w:hAnsi="黑体" w:eastAsia="黑体" w:cs="黑体"/>
        </w:rPr>
        <w:fldChar w:fldCharType="separate"/>
      </w:r>
      <w:r>
        <w:rPr>
          <w:rFonts w:hint="eastAsia" w:ascii="黑体" w:hAnsi="黑体" w:eastAsia="黑体" w:cs="黑体"/>
        </w:rPr>
        <w:t>4.1 投标文件的密封和标记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_Toc2835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_Toc3648 </w:instrText>
      </w:r>
      <w:r>
        <w:rPr>
          <w:rFonts w:hint="eastAsia" w:ascii="黑体" w:hAnsi="黑体" w:eastAsia="黑体" w:cs="黑体"/>
        </w:rPr>
        <w:fldChar w:fldCharType="separate"/>
      </w:r>
      <w:r>
        <w:rPr>
          <w:rFonts w:hint="eastAsia" w:ascii="黑体" w:hAnsi="黑体" w:eastAsia="黑体" w:cs="黑体"/>
        </w:rPr>
        <w:t>4.2 投标文件的递交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_Toc3648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_Toc23795 </w:instrText>
      </w:r>
      <w:r>
        <w:rPr>
          <w:rFonts w:hint="eastAsia" w:ascii="黑体" w:hAnsi="黑体" w:eastAsia="黑体" w:cs="黑体"/>
        </w:rPr>
        <w:fldChar w:fldCharType="separate"/>
      </w:r>
      <w:r>
        <w:rPr>
          <w:rFonts w:hint="eastAsia" w:ascii="黑体" w:hAnsi="黑体" w:eastAsia="黑体" w:cs="黑体"/>
        </w:rPr>
        <w:t>4.3 投标文件的修改与撤回</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_Toc23795 \h </w:instrText>
      </w:r>
      <w:r>
        <w:rPr>
          <w:rFonts w:hint="eastAsia" w:ascii="黑体" w:hAnsi="黑体" w:eastAsia="黑体" w:cs="黑体"/>
        </w:rPr>
        <w:fldChar w:fldCharType="separate"/>
      </w:r>
      <w:r>
        <w:rPr>
          <w:rFonts w:hint="eastAsia" w:ascii="黑体" w:hAnsi="黑体" w:eastAsia="黑体" w:cs="黑体"/>
        </w:rPr>
        <w:t>23</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_Toc13848 </w:instrText>
      </w:r>
      <w:r>
        <w:rPr>
          <w:rFonts w:hint="eastAsia" w:ascii="黑体" w:hAnsi="黑体" w:eastAsia="黑体" w:cs="黑体"/>
        </w:rPr>
        <w:fldChar w:fldCharType="separate"/>
      </w:r>
      <w:r>
        <w:rPr>
          <w:rFonts w:hint="eastAsia" w:ascii="黑体" w:hAnsi="黑体" w:eastAsia="黑体" w:cs="黑体"/>
        </w:rPr>
        <w:t>5. 开标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_Toc13848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_Toc12571 </w:instrText>
      </w:r>
      <w:r>
        <w:rPr>
          <w:rFonts w:hint="eastAsia" w:ascii="黑体" w:hAnsi="黑体" w:eastAsia="黑体" w:cs="黑体"/>
        </w:rPr>
        <w:fldChar w:fldCharType="separate"/>
      </w:r>
      <w:r>
        <w:rPr>
          <w:rFonts w:hint="eastAsia" w:ascii="黑体" w:hAnsi="黑体" w:eastAsia="黑体" w:cs="黑体"/>
        </w:rPr>
        <w:t>5.1 开标时间和地点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_Toc12571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_Toc27182 </w:instrText>
      </w:r>
      <w:r>
        <w:rPr>
          <w:rFonts w:hint="eastAsia" w:ascii="黑体" w:hAnsi="黑体" w:eastAsia="黑体" w:cs="黑体"/>
        </w:rPr>
        <w:fldChar w:fldCharType="separate"/>
      </w:r>
      <w:r>
        <w:rPr>
          <w:rFonts w:hint="eastAsia" w:ascii="黑体" w:hAnsi="黑体" w:eastAsia="黑体" w:cs="黑体"/>
        </w:rPr>
        <w:t>5.2 开标程序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_Toc27182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_Toc18507 </w:instrText>
      </w:r>
      <w:r>
        <w:rPr>
          <w:rFonts w:hint="eastAsia" w:ascii="黑体" w:hAnsi="黑体" w:eastAsia="黑体" w:cs="黑体"/>
        </w:rPr>
        <w:fldChar w:fldCharType="separate"/>
      </w:r>
      <w:r>
        <w:rPr>
          <w:rFonts w:hint="eastAsia" w:ascii="黑体" w:hAnsi="黑体" w:eastAsia="黑体" w:cs="黑体"/>
        </w:rPr>
        <w:t>5.3 开标异议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_Toc18507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_Toc15077 </w:instrText>
      </w:r>
      <w:r>
        <w:rPr>
          <w:rFonts w:hint="eastAsia" w:ascii="黑体" w:hAnsi="黑体" w:eastAsia="黑体" w:cs="黑体"/>
        </w:rPr>
        <w:fldChar w:fldCharType="separate"/>
      </w:r>
      <w:r>
        <w:rPr>
          <w:rFonts w:hint="eastAsia" w:ascii="黑体" w:hAnsi="黑体" w:eastAsia="黑体" w:cs="黑体"/>
        </w:rPr>
        <w:t>6. 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_Toc15077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_Toc376 </w:instrText>
      </w:r>
      <w:r>
        <w:rPr>
          <w:rFonts w:hint="eastAsia" w:ascii="黑体" w:hAnsi="黑体" w:eastAsia="黑体" w:cs="黑体"/>
        </w:rPr>
        <w:fldChar w:fldCharType="separate"/>
      </w:r>
      <w:r>
        <w:rPr>
          <w:rFonts w:hint="eastAsia" w:ascii="黑体" w:hAnsi="黑体" w:eastAsia="黑体" w:cs="黑体"/>
        </w:rPr>
        <w:t>6.1 评标委员会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_Toc376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_Toc17163 </w:instrText>
      </w:r>
      <w:r>
        <w:rPr>
          <w:rFonts w:hint="eastAsia" w:ascii="黑体" w:hAnsi="黑体" w:eastAsia="黑体" w:cs="黑体"/>
        </w:rPr>
        <w:fldChar w:fldCharType="separate"/>
      </w:r>
      <w:r>
        <w:rPr>
          <w:rFonts w:hint="eastAsia" w:ascii="黑体" w:hAnsi="黑体" w:eastAsia="黑体" w:cs="黑体"/>
        </w:rPr>
        <w:t>6.2 评标原则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_Toc17163 \h </w:instrText>
      </w:r>
      <w:r>
        <w:rPr>
          <w:rFonts w:hint="eastAsia" w:ascii="黑体" w:hAnsi="黑体" w:eastAsia="黑体" w:cs="黑体"/>
        </w:rPr>
        <w:fldChar w:fldCharType="separate"/>
      </w:r>
      <w:r>
        <w:rPr>
          <w:rFonts w:hint="eastAsia" w:ascii="黑体" w:hAnsi="黑体" w:eastAsia="黑体" w:cs="黑体"/>
        </w:rPr>
        <w:t>24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_Toc11551 </w:instrText>
      </w:r>
      <w:r>
        <w:rPr>
          <w:rFonts w:hint="eastAsia" w:ascii="黑体" w:hAnsi="黑体" w:eastAsia="黑体" w:cs="黑体"/>
        </w:rPr>
        <w:fldChar w:fldCharType="separate"/>
      </w:r>
      <w:r>
        <w:rPr>
          <w:rFonts w:hint="eastAsia" w:ascii="黑体" w:hAnsi="黑体" w:eastAsia="黑体" w:cs="黑体"/>
        </w:rPr>
        <w:t>6.3 评标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_Toc11551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_Toc22124 </w:instrText>
      </w:r>
      <w:r>
        <w:rPr>
          <w:rFonts w:hint="eastAsia" w:ascii="黑体" w:hAnsi="黑体" w:eastAsia="黑体" w:cs="黑体"/>
        </w:rPr>
        <w:fldChar w:fldCharType="separate"/>
      </w:r>
      <w:r>
        <w:rPr>
          <w:rFonts w:hint="eastAsia" w:ascii="黑体" w:hAnsi="黑体" w:eastAsia="黑体" w:cs="黑体"/>
          <w:lang w:val="en-US" w:eastAsia="zh-CN"/>
        </w:rPr>
        <w:t>7.定标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_Toc22124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_Toc2069 </w:instrText>
      </w:r>
      <w:r>
        <w:rPr>
          <w:rFonts w:hint="eastAsia" w:ascii="黑体" w:hAnsi="黑体" w:eastAsia="黑体" w:cs="黑体"/>
        </w:rPr>
        <w:fldChar w:fldCharType="separate"/>
      </w:r>
      <w:r>
        <w:rPr>
          <w:rFonts w:hint="eastAsia" w:ascii="黑体" w:hAnsi="黑体" w:eastAsia="黑体" w:cs="黑体"/>
          <w:lang w:val="en-US" w:eastAsia="zh-CN"/>
        </w:rPr>
        <w:t>7.1 定标委员会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_Toc2069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_Toc32224 </w:instrText>
      </w:r>
      <w:r>
        <w:rPr>
          <w:rFonts w:hint="eastAsia" w:ascii="黑体" w:hAnsi="黑体" w:eastAsia="黑体" w:cs="黑体"/>
        </w:rPr>
        <w:fldChar w:fldCharType="separate"/>
      </w:r>
      <w:r>
        <w:rPr>
          <w:rFonts w:hint="eastAsia" w:ascii="黑体" w:hAnsi="黑体" w:eastAsia="黑体" w:cs="黑体"/>
          <w:lang w:val="en-US" w:eastAsia="zh-CN"/>
        </w:rPr>
        <w:t>7.2 定标原则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_Toc32224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_Toc477 </w:instrText>
      </w:r>
      <w:r>
        <w:rPr>
          <w:rFonts w:hint="eastAsia" w:ascii="黑体" w:hAnsi="黑体" w:eastAsia="黑体" w:cs="黑体"/>
        </w:rPr>
        <w:fldChar w:fldCharType="separate"/>
      </w:r>
      <w:r>
        <w:rPr>
          <w:rFonts w:hint="eastAsia" w:ascii="黑体" w:hAnsi="黑体" w:eastAsia="黑体" w:cs="黑体"/>
          <w:lang w:val="en-US" w:eastAsia="zh-CN"/>
        </w:rPr>
        <w:t>7.3 定标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_Toc477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_Toc29882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 合同授予</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_Toc29882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_Toc21209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.1 中标候选人公示</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_Toc21209 \h </w:instrText>
      </w:r>
      <w:r>
        <w:rPr>
          <w:rFonts w:hint="eastAsia" w:ascii="黑体" w:hAnsi="黑体" w:eastAsia="黑体" w:cs="黑体"/>
        </w:rPr>
        <w:fldChar w:fldCharType="separate"/>
      </w:r>
      <w:r>
        <w:rPr>
          <w:rFonts w:hint="eastAsia" w:ascii="黑体" w:hAnsi="黑体" w:eastAsia="黑体" w:cs="黑体"/>
        </w:rPr>
        <w:t>25</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_Toc15047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.2 评标结果异议</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_Toc15047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_Toc18637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.3 中标候选人履约能力审查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_Toc18637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_Toc10049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4</w:t>
      </w:r>
      <w:r>
        <w:rPr>
          <w:rFonts w:hint="eastAsia" w:ascii="黑体" w:hAnsi="黑体" w:eastAsia="黑体" w:cs="黑体"/>
        </w:rPr>
        <w:t xml:space="preserve"> 中标通知</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_Toc10049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_Toc9342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5</w:t>
      </w:r>
      <w:r>
        <w:rPr>
          <w:rFonts w:hint="eastAsia" w:ascii="黑体" w:hAnsi="黑体" w:eastAsia="黑体" w:cs="黑体"/>
        </w:rPr>
        <w:t xml:space="preserve"> 履约保证金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_Toc9342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_Toc3172 </w:instrText>
      </w:r>
      <w:r>
        <w:rPr>
          <w:rFonts w:hint="eastAsia" w:ascii="黑体" w:hAnsi="黑体" w:eastAsia="黑体" w:cs="黑体"/>
        </w:rPr>
        <w:fldChar w:fldCharType="separate"/>
      </w:r>
      <w:r>
        <w:rPr>
          <w:rFonts w:hint="eastAsia" w:ascii="黑体" w:hAnsi="黑体" w:eastAsia="黑体" w:cs="黑体"/>
          <w:lang w:val="en-US" w:eastAsia="zh-CN"/>
        </w:rPr>
        <w:t>8</w:t>
      </w:r>
      <w:r>
        <w:rPr>
          <w:rFonts w:hint="eastAsia" w:ascii="黑体" w:hAnsi="黑体" w:eastAsia="黑体" w:cs="黑体"/>
        </w:rPr>
        <w:t>.</w:t>
      </w:r>
      <w:r>
        <w:rPr>
          <w:rFonts w:hint="eastAsia" w:ascii="黑体" w:hAnsi="黑体" w:eastAsia="黑体" w:cs="黑体"/>
          <w:lang w:val="en-US" w:eastAsia="zh-CN"/>
        </w:rPr>
        <w:t>6</w:t>
      </w:r>
      <w:r>
        <w:rPr>
          <w:rFonts w:hint="eastAsia" w:ascii="黑体" w:hAnsi="黑体" w:eastAsia="黑体" w:cs="黑体"/>
        </w:rPr>
        <w:t xml:space="preserve"> 签订合同</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_Toc3172 \h </w:instrText>
      </w:r>
      <w:r>
        <w:rPr>
          <w:rFonts w:hint="eastAsia" w:ascii="黑体" w:hAnsi="黑体" w:eastAsia="黑体" w:cs="黑体"/>
        </w:rPr>
        <w:fldChar w:fldCharType="separate"/>
      </w:r>
      <w:r>
        <w:rPr>
          <w:rFonts w:hint="eastAsia" w:ascii="黑体" w:hAnsi="黑体" w:eastAsia="黑体" w:cs="黑体"/>
        </w:rPr>
        <w:t>26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_Toc31115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.纪律和监督</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_Toc31115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_Toc14462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.1 对招标人的纪律要求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_Toc14462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_Toc18849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.2 对投标人的纪律要求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_Toc18849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_Toc18612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.3 对评标委员会成员的纪律要求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_Toc18612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_Toc7866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.4 对与评标活动有关的工作人员的纪律要求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_Toc7866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_Toc8921 </w:instrText>
      </w:r>
      <w:r>
        <w:rPr>
          <w:rFonts w:hint="eastAsia" w:ascii="黑体" w:hAnsi="黑体" w:eastAsia="黑体" w:cs="黑体"/>
        </w:rPr>
        <w:fldChar w:fldCharType="separate"/>
      </w:r>
      <w:r>
        <w:rPr>
          <w:rFonts w:hint="eastAsia" w:ascii="黑体" w:hAnsi="黑体" w:eastAsia="黑体" w:cs="黑体"/>
          <w:lang w:val="en-US" w:eastAsia="zh-CN"/>
        </w:rPr>
        <w:t>9</w:t>
      </w:r>
      <w:r>
        <w:rPr>
          <w:rFonts w:hint="eastAsia" w:ascii="黑体" w:hAnsi="黑体" w:eastAsia="黑体" w:cs="黑体"/>
        </w:rPr>
        <w:t>.5 投诉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_Toc8921 \h </w:instrText>
      </w:r>
      <w:r>
        <w:rPr>
          <w:rFonts w:hint="eastAsia" w:ascii="黑体" w:hAnsi="黑体" w:eastAsia="黑体" w:cs="黑体"/>
        </w:rPr>
        <w:fldChar w:fldCharType="separate"/>
      </w:r>
      <w:r>
        <w:rPr>
          <w:rFonts w:hint="eastAsia" w:ascii="黑体" w:hAnsi="黑体" w:eastAsia="黑体" w:cs="黑体"/>
        </w:rPr>
        <w:t>27</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_Toc17429 </w:instrText>
      </w:r>
      <w:r>
        <w:rPr>
          <w:rFonts w:hint="eastAsia" w:ascii="黑体" w:hAnsi="黑体" w:eastAsia="黑体" w:cs="黑体"/>
        </w:rPr>
        <w:fldChar w:fldCharType="separate"/>
      </w:r>
      <w:r>
        <w:rPr>
          <w:rFonts w:hint="eastAsia" w:ascii="黑体" w:hAnsi="黑体" w:eastAsia="黑体" w:cs="黑体"/>
          <w:lang w:val="en-US" w:eastAsia="zh-CN"/>
        </w:rPr>
        <w:t>10</w:t>
      </w:r>
      <w:r>
        <w:rPr>
          <w:rFonts w:hint="eastAsia" w:ascii="黑体" w:hAnsi="黑体" w:eastAsia="黑体" w:cs="黑体"/>
        </w:rPr>
        <w:t>. 是否采用电子招标投标</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_Toc17429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_Toc22277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lang w:val="en-US" w:eastAsia="zh-CN"/>
        </w:rPr>
        <w:t>1</w:t>
      </w:r>
      <w:r>
        <w:rPr>
          <w:rFonts w:hint="eastAsia" w:ascii="黑体" w:hAnsi="黑体" w:eastAsia="黑体" w:cs="黑体"/>
        </w:rPr>
        <w:t>. 需要补充的其他内容</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_Toc22277 \h </w:instrText>
      </w:r>
      <w:r>
        <w:rPr>
          <w:rFonts w:hint="eastAsia" w:ascii="黑体" w:hAnsi="黑体" w:eastAsia="黑体" w:cs="黑体"/>
        </w:rPr>
        <w:fldChar w:fldCharType="separate"/>
      </w:r>
      <w:r>
        <w:rPr>
          <w:rFonts w:hint="eastAsia" w:ascii="黑体" w:hAnsi="黑体" w:eastAsia="黑体" w:cs="黑体"/>
        </w:rPr>
        <w:t>28</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_Toc31735 </w:instrText>
      </w:r>
      <w:r>
        <w:rPr>
          <w:rFonts w:hint="eastAsia" w:ascii="黑体" w:hAnsi="黑体" w:eastAsia="黑体" w:cs="黑体"/>
        </w:rPr>
        <w:fldChar w:fldCharType="separate"/>
      </w:r>
      <w:r>
        <w:rPr>
          <w:rFonts w:hint="eastAsia" w:ascii="黑体" w:hAnsi="黑体" w:eastAsia="黑体" w:cs="黑体"/>
        </w:rPr>
        <w:t>第三章评标办法（</w:t>
      </w:r>
      <w:r>
        <w:rPr>
          <w:rFonts w:hint="eastAsia" w:ascii="黑体" w:hAnsi="黑体" w:eastAsia="黑体" w:cs="黑体"/>
          <w:lang w:val="en-US" w:eastAsia="zh-CN"/>
        </w:rPr>
        <w:t>材料采购</w:t>
      </w:r>
      <w:r>
        <w:rPr>
          <w:rFonts w:hint="eastAsia" w:ascii="黑体" w:hAnsi="黑体" w:eastAsia="黑体" w:cs="黑体"/>
        </w:rPr>
        <w:t>综合评估法）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_Toc31735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_Toc28365 </w:instrText>
      </w:r>
      <w:r>
        <w:rPr>
          <w:rFonts w:hint="eastAsia" w:ascii="黑体" w:hAnsi="黑体" w:eastAsia="黑体" w:cs="黑体"/>
        </w:rPr>
        <w:fldChar w:fldCharType="separate"/>
      </w:r>
      <w:r>
        <w:rPr>
          <w:rFonts w:hint="eastAsia" w:ascii="黑体" w:hAnsi="黑体" w:eastAsia="黑体" w:cs="黑体"/>
        </w:rPr>
        <w:t>评标办法前附表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_Toc28365 \h </w:instrText>
      </w:r>
      <w:r>
        <w:rPr>
          <w:rFonts w:hint="eastAsia" w:ascii="黑体" w:hAnsi="黑体" w:eastAsia="黑体" w:cs="黑体"/>
        </w:rPr>
        <w:fldChar w:fldCharType="separate"/>
      </w:r>
      <w:r>
        <w:rPr>
          <w:rFonts w:hint="eastAsia" w:ascii="黑体" w:hAnsi="黑体" w:eastAsia="黑体" w:cs="黑体"/>
        </w:rPr>
        <w:t>29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_Toc16509 </w:instrText>
      </w:r>
      <w:r>
        <w:rPr>
          <w:rFonts w:hint="eastAsia" w:ascii="黑体" w:hAnsi="黑体" w:eastAsia="黑体" w:cs="黑体"/>
        </w:rPr>
        <w:fldChar w:fldCharType="separate"/>
      </w:r>
      <w:r>
        <w:rPr>
          <w:rFonts w:hint="eastAsia" w:ascii="黑体" w:hAnsi="黑体" w:eastAsia="黑体" w:cs="黑体"/>
        </w:rPr>
        <w:t>1. 评标方法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_Toc16509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_Toc8006 </w:instrText>
      </w:r>
      <w:r>
        <w:rPr>
          <w:rFonts w:hint="eastAsia" w:ascii="黑体" w:hAnsi="黑体" w:eastAsia="黑体" w:cs="黑体"/>
        </w:rPr>
        <w:fldChar w:fldCharType="separate"/>
      </w:r>
      <w:r>
        <w:rPr>
          <w:rFonts w:hint="eastAsia" w:ascii="黑体" w:hAnsi="黑体" w:eastAsia="黑体" w:cs="黑体"/>
        </w:rPr>
        <w:t>2. 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_Toc8006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_Toc20492 </w:instrText>
      </w:r>
      <w:r>
        <w:rPr>
          <w:rFonts w:hint="eastAsia" w:ascii="黑体" w:hAnsi="黑体" w:eastAsia="黑体" w:cs="黑体"/>
        </w:rPr>
        <w:fldChar w:fldCharType="separate"/>
      </w:r>
      <w:r>
        <w:rPr>
          <w:rFonts w:hint="eastAsia" w:ascii="黑体" w:hAnsi="黑体" w:eastAsia="黑体" w:cs="黑体"/>
        </w:rPr>
        <w:t>2.1 初步评审标准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_Toc20492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_Toc15432 </w:instrText>
      </w:r>
      <w:r>
        <w:rPr>
          <w:rFonts w:hint="eastAsia" w:ascii="黑体" w:hAnsi="黑体" w:eastAsia="黑体" w:cs="黑体"/>
        </w:rPr>
        <w:fldChar w:fldCharType="separate"/>
      </w:r>
      <w:r>
        <w:rPr>
          <w:rFonts w:hint="eastAsia" w:ascii="黑体" w:hAnsi="黑体" w:eastAsia="黑体" w:cs="黑体"/>
        </w:rPr>
        <w:t>2.2 分值构成与评分标准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_Toc15432 \h </w:instrText>
      </w:r>
      <w:r>
        <w:rPr>
          <w:rFonts w:hint="eastAsia" w:ascii="黑体" w:hAnsi="黑体" w:eastAsia="黑体" w:cs="黑体"/>
        </w:rPr>
        <w:fldChar w:fldCharType="separate"/>
      </w:r>
      <w:r>
        <w:rPr>
          <w:rFonts w:hint="eastAsia" w:ascii="黑体" w:hAnsi="黑体" w:eastAsia="黑体" w:cs="黑体"/>
        </w:rPr>
        <w:t>32</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_Toc2586 </w:instrText>
      </w:r>
      <w:r>
        <w:rPr>
          <w:rFonts w:hint="eastAsia" w:ascii="黑体" w:hAnsi="黑体" w:eastAsia="黑体" w:cs="黑体"/>
        </w:rPr>
        <w:fldChar w:fldCharType="separate"/>
      </w:r>
      <w:r>
        <w:rPr>
          <w:rFonts w:hint="eastAsia" w:ascii="黑体" w:hAnsi="黑体" w:eastAsia="黑体" w:cs="黑体"/>
        </w:rPr>
        <w:t>3. 评标程序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_Toc2586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_Toc32385 </w:instrText>
      </w:r>
      <w:r>
        <w:rPr>
          <w:rFonts w:hint="eastAsia" w:ascii="黑体" w:hAnsi="黑体" w:eastAsia="黑体" w:cs="黑体"/>
        </w:rPr>
        <w:fldChar w:fldCharType="separate"/>
      </w:r>
      <w:r>
        <w:rPr>
          <w:rFonts w:hint="eastAsia" w:ascii="黑体" w:hAnsi="黑体" w:eastAsia="黑体" w:cs="黑体"/>
        </w:rPr>
        <w:t>3.1 初步评审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_Toc32385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_Toc1894 </w:instrText>
      </w:r>
      <w:r>
        <w:rPr>
          <w:rFonts w:hint="eastAsia" w:ascii="黑体" w:hAnsi="黑体" w:eastAsia="黑体" w:cs="黑体"/>
        </w:rPr>
        <w:fldChar w:fldCharType="separate"/>
      </w:r>
      <w:r>
        <w:rPr>
          <w:rFonts w:hint="eastAsia" w:ascii="黑体" w:hAnsi="黑体" w:eastAsia="黑体" w:cs="黑体"/>
        </w:rPr>
        <w:t>3.2 详细评审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_Toc1894 \h </w:instrText>
      </w:r>
      <w:r>
        <w:rPr>
          <w:rFonts w:hint="eastAsia" w:ascii="黑体" w:hAnsi="黑体" w:eastAsia="黑体" w:cs="黑体"/>
        </w:rPr>
        <w:fldChar w:fldCharType="separate"/>
      </w:r>
      <w:r>
        <w:rPr>
          <w:rFonts w:hint="eastAsia" w:ascii="黑体" w:hAnsi="黑体" w:eastAsia="黑体" w:cs="黑体"/>
        </w:rPr>
        <w:t>33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_Toc31573 </w:instrText>
      </w:r>
      <w:r>
        <w:rPr>
          <w:rFonts w:hint="eastAsia" w:ascii="黑体" w:hAnsi="黑体" w:eastAsia="黑体" w:cs="黑体"/>
        </w:rPr>
        <w:fldChar w:fldCharType="separate"/>
      </w:r>
      <w:r>
        <w:rPr>
          <w:rFonts w:hint="eastAsia" w:ascii="黑体" w:hAnsi="黑体" w:eastAsia="黑体" w:cs="黑体"/>
        </w:rPr>
        <w:t>3.3 投标文件的澄清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_Toc31573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_Toc28897 </w:instrText>
      </w:r>
      <w:r>
        <w:rPr>
          <w:rFonts w:hint="eastAsia" w:ascii="黑体" w:hAnsi="黑体" w:eastAsia="黑体" w:cs="黑体"/>
        </w:rPr>
        <w:fldChar w:fldCharType="separate"/>
      </w:r>
      <w:r>
        <w:rPr>
          <w:rFonts w:hint="eastAsia" w:ascii="黑体" w:hAnsi="黑体" w:eastAsia="黑体" w:cs="黑体"/>
        </w:rPr>
        <w:t>3.4 评标结果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_Toc28897 \h </w:instrText>
      </w:r>
      <w:r>
        <w:rPr>
          <w:rFonts w:hint="eastAsia" w:ascii="黑体" w:hAnsi="黑体" w:eastAsia="黑体" w:cs="黑体"/>
        </w:rPr>
        <w:fldChar w:fldCharType="separate"/>
      </w:r>
      <w:r>
        <w:rPr>
          <w:rFonts w:hint="eastAsia" w:ascii="黑体" w:hAnsi="黑体" w:eastAsia="黑体" w:cs="黑体"/>
        </w:rPr>
        <w:t>34</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_Toc25766 </w:instrText>
      </w:r>
      <w:r>
        <w:rPr>
          <w:rFonts w:hint="eastAsia" w:ascii="黑体" w:hAnsi="黑体" w:eastAsia="黑体" w:cs="黑体"/>
        </w:rPr>
        <w:fldChar w:fldCharType="separate"/>
      </w:r>
      <w:r>
        <w:rPr>
          <w:rFonts w:hint="eastAsia" w:ascii="黑体" w:hAnsi="黑体" w:eastAsia="黑体" w:cs="黑体"/>
        </w:rPr>
        <w:t xml:space="preserve">第四章  </w:t>
      </w:r>
      <w:r>
        <w:rPr>
          <w:rFonts w:hint="eastAsia" w:ascii="黑体" w:hAnsi="黑体" w:eastAsia="黑体" w:cs="黑体"/>
          <w:lang w:val="en-US" w:eastAsia="zh-CN"/>
        </w:rPr>
        <w:t>定标办法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_Toc25766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_Toc29386 </w:instrText>
      </w:r>
      <w:r>
        <w:rPr>
          <w:rFonts w:hint="eastAsia" w:ascii="黑体" w:hAnsi="黑体" w:eastAsia="黑体" w:cs="黑体"/>
        </w:rPr>
        <w:fldChar w:fldCharType="separate"/>
      </w:r>
      <w:r>
        <w:rPr>
          <w:rFonts w:hint="eastAsia" w:ascii="黑体" w:hAnsi="黑体" w:eastAsia="黑体" w:cs="黑体"/>
          <w:szCs w:val="24"/>
          <w:lang w:val="en-US" w:eastAsia="zh-CN"/>
        </w:rPr>
        <w:t>定</w:t>
      </w:r>
      <w:r>
        <w:rPr>
          <w:rFonts w:hint="eastAsia" w:ascii="黑体" w:hAnsi="黑体" w:eastAsia="黑体" w:cs="黑体"/>
          <w:szCs w:val="24"/>
        </w:rPr>
        <w:t>标办法前附表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_Toc29386 \h </w:instrText>
      </w:r>
      <w:r>
        <w:rPr>
          <w:rFonts w:hint="eastAsia" w:ascii="黑体" w:hAnsi="黑体" w:eastAsia="黑体" w:cs="黑体"/>
        </w:rPr>
        <w:fldChar w:fldCharType="separate"/>
      </w:r>
      <w:r>
        <w:rPr>
          <w:rFonts w:hint="eastAsia" w:ascii="黑体" w:hAnsi="黑体" w:eastAsia="黑体" w:cs="黑体"/>
        </w:rPr>
        <w:t>35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_Toc6136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1.定标方法</w:t>
      </w:r>
      <w:r>
        <w:rPr>
          <w:rFonts w:hint="eastAsia" w:ascii="黑体" w:hAnsi="黑体" w:eastAsia="黑体" w:cs="黑体"/>
          <w:szCs w:val="24"/>
        </w:rPr>
        <w:t>(票决定标法)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_Toc6136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_Toc21969 </w:instrText>
      </w:r>
      <w:r>
        <w:rPr>
          <w:rFonts w:hint="eastAsia" w:ascii="黑体" w:hAnsi="黑体" w:eastAsia="黑体" w:cs="黑体"/>
        </w:rPr>
        <w:fldChar w:fldCharType="separate"/>
      </w:r>
      <w:r>
        <w:rPr>
          <w:rFonts w:hint="eastAsia" w:ascii="黑体" w:hAnsi="黑体" w:eastAsia="黑体" w:cs="黑体"/>
          <w:szCs w:val="24"/>
        </w:rPr>
        <w:t xml:space="preserve">1. </w:t>
      </w:r>
      <w:r>
        <w:rPr>
          <w:rFonts w:hint="eastAsia" w:ascii="黑体" w:hAnsi="黑体" w:eastAsia="黑体" w:cs="黑体"/>
          <w:bCs w:val="0"/>
          <w:kern w:val="2"/>
          <w:szCs w:val="24"/>
          <w:lang w:val="en-US" w:eastAsia="zh-CN" w:bidi="ar-SA"/>
        </w:rPr>
        <w:t>定标方法</w:t>
      </w:r>
      <w:r>
        <w:rPr>
          <w:rFonts w:hint="eastAsia" w:ascii="黑体" w:hAnsi="黑体" w:eastAsia="黑体" w:cs="黑体"/>
          <w:szCs w:val="24"/>
        </w:rPr>
        <w:t>(</w:t>
      </w:r>
      <w:r>
        <w:rPr>
          <w:rFonts w:hint="eastAsia" w:ascii="黑体" w:hAnsi="黑体" w:eastAsia="黑体" w:cs="黑体"/>
          <w:szCs w:val="24"/>
          <w:lang w:val="en-US" w:eastAsia="zh-CN"/>
        </w:rPr>
        <w:t>投票计分</w:t>
      </w:r>
      <w:r>
        <w:rPr>
          <w:rFonts w:hint="eastAsia" w:ascii="黑体" w:hAnsi="黑体" w:eastAsia="黑体" w:cs="黑体"/>
          <w:szCs w:val="24"/>
        </w:rPr>
        <w:t>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_Toc21969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_Toc32650 </w:instrText>
      </w:r>
      <w:r>
        <w:rPr>
          <w:rFonts w:hint="eastAsia" w:ascii="黑体" w:hAnsi="黑体" w:eastAsia="黑体" w:cs="黑体"/>
        </w:rPr>
        <w:fldChar w:fldCharType="separate"/>
      </w:r>
      <w:r>
        <w:rPr>
          <w:rFonts w:hint="eastAsia" w:ascii="黑体" w:hAnsi="黑体" w:eastAsia="黑体" w:cs="黑体"/>
          <w:szCs w:val="24"/>
        </w:rPr>
        <w:t xml:space="preserve">1. </w:t>
      </w:r>
      <w:r>
        <w:rPr>
          <w:rFonts w:hint="eastAsia" w:ascii="黑体" w:hAnsi="黑体" w:eastAsia="黑体" w:cs="黑体"/>
          <w:bCs w:val="0"/>
          <w:kern w:val="2"/>
          <w:szCs w:val="24"/>
          <w:lang w:val="en-US" w:eastAsia="zh-CN" w:bidi="ar-SA"/>
        </w:rPr>
        <w:t>定标方法</w:t>
      </w:r>
      <w:r>
        <w:rPr>
          <w:rFonts w:hint="eastAsia" w:ascii="黑体" w:hAnsi="黑体" w:eastAsia="黑体" w:cs="黑体"/>
          <w:szCs w:val="24"/>
        </w:rPr>
        <w:t>(</w:t>
      </w:r>
      <w:r>
        <w:rPr>
          <w:rFonts w:hint="eastAsia" w:ascii="黑体" w:hAnsi="黑体" w:eastAsia="黑体" w:cs="黑体"/>
          <w:szCs w:val="24"/>
          <w:lang w:val="en-US" w:eastAsia="zh-CN"/>
        </w:rPr>
        <w:t>集体议事</w:t>
      </w:r>
      <w:r>
        <w:rPr>
          <w:rFonts w:hint="eastAsia" w:ascii="黑体" w:hAnsi="黑体" w:eastAsia="黑体" w:cs="黑体"/>
          <w:szCs w:val="24"/>
        </w:rPr>
        <w:t>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_Toc32650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_Toc22083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1.定标方法</w:t>
      </w:r>
      <w:r>
        <w:rPr>
          <w:rFonts w:hint="eastAsia" w:ascii="黑体" w:hAnsi="黑体" w:eastAsia="黑体" w:cs="黑体"/>
          <w:szCs w:val="24"/>
        </w:rPr>
        <w:t>(</w:t>
      </w:r>
      <w:r>
        <w:rPr>
          <w:rFonts w:hint="eastAsia" w:ascii="黑体" w:hAnsi="黑体" w:eastAsia="黑体" w:cs="黑体"/>
          <w:szCs w:val="24"/>
          <w:lang w:val="en-US" w:eastAsia="zh-CN"/>
        </w:rPr>
        <w:t>招标人确定的其他方</w:t>
      </w:r>
      <w:r>
        <w:rPr>
          <w:rFonts w:hint="eastAsia" w:ascii="黑体" w:hAnsi="黑体" w:eastAsia="黑体" w:cs="黑体"/>
          <w:szCs w:val="24"/>
        </w:rPr>
        <w:t>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_Toc22083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_Toc7513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2.定标标准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_Toc7513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_Toc20867 </w:instrText>
      </w:r>
      <w:r>
        <w:rPr>
          <w:rFonts w:hint="eastAsia" w:ascii="黑体" w:hAnsi="黑体" w:eastAsia="黑体" w:cs="黑体"/>
        </w:rPr>
        <w:fldChar w:fldCharType="separate"/>
      </w:r>
      <w:r>
        <w:rPr>
          <w:rFonts w:hint="eastAsia" w:ascii="黑体" w:hAnsi="黑体" w:eastAsia="黑体" w:cs="黑体"/>
          <w:bCs w:val="0"/>
          <w:kern w:val="2"/>
          <w:szCs w:val="24"/>
          <w:lang w:val="en-US" w:eastAsia="zh-CN" w:bidi="ar-SA"/>
        </w:rPr>
        <w:t>3.定标程序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_Toc20867 \h </w:instrText>
      </w:r>
      <w:r>
        <w:rPr>
          <w:rFonts w:hint="eastAsia" w:ascii="黑体" w:hAnsi="黑体" w:eastAsia="黑体" w:cs="黑体"/>
        </w:rPr>
        <w:fldChar w:fldCharType="separate"/>
      </w:r>
      <w:r>
        <w:rPr>
          <w:rFonts w:hint="eastAsia" w:ascii="黑体" w:hAnsi="黑体" w:eastAsia="黑体" w:cs="黑体"/>
        </w:rPr>
        <w:t>36</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_Toc5935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五</w:t>
      </w:r>
      <w:r>
        <w:rPr>
          <w:rFonts w:hint="eastAsia" w:ascii="黑体" w:hAnsi="黑体" w:eastAsia="黑体" w:cs="黑体"/>
        </w:rPr>
        <w:t>章合同条款及格式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_Toc5935 \h </w:instrText>
      </w:r>
      <w:r>
        <w:rPr>
          <w:rFonts w:hint="eastAsia" w:ascii="黑体" w:hAnsi="黑体" w:eastAsia="黑体" w:cs="黑体"/>
        </w:rPr>
        <w:fldChar w:fldCharType="separate"/>
      </w:r>
      <w:r>
        <w:rPr>
          <w:rFonts w:hint="eastAsia" w:ascii="黑体" w:hAnsi="黑体" w:eastAsia="黑体" w:cs="黑体"/>
        </w:rPr>
        <w:t>38</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_Toc25695 </w:instrText>
      </w:r>
      <w:r>
        <w:rPr>
          <w:rFonts w:hint="eastAsia" w:ascii="黑体" w:hAnsi="黑体" w:eastAsia="黑体" w:cs="黑体"/>
        </w:rPr>
        <w:fldChar w:fldCharType="separate"/>
      </w:r>
      <w:r>
        <w:rPr>
          <w:rFonts w:hint="eastAsia" w:ascii="黑体" w:hAnsi="黑体" w:eastAsia="黑体" w:cs="黑体"/>
        </w:rPr>
        <w:t>第一节通用合同条款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_Toc25695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_Toc5157 </w:instrText>
      </w:r>
      <w:r>
        <w:rPr>
          <w:rFonts w:hint="eastAsia" w:ascii="黑体" w:hAnsi="黑体" w:eastAsia="黑体" w:cs="黑体"/>
        </w:rPr>
        <w:fldChar w:fldCharType="separate"/>
      </w:r>
      <w:r>
        <w:rPr>
          <w:rFonts w:hint="eastAsia" w:ascii="黑体" w:hAnsi="黑体" w:eastAsia="黑体" w:cs="黑体"/>
          <w:bCs/>
          <w:szCs w:val="32"/>
        </w:rPr>
        <w:t>1. 一般约定</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_Toc5157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_Toc10499 </w:instrText>
      </w:r>
      <w:r>
        <w:rPr>
          <w:rFonts w:hint="eastAsia" w:ascii="黑体" w:hAnsi="黑体" w:eastAsia="黑体" w:cs="黑体"/>
        </w:rPr>
        <w:fldChar w:fldCharType="separate"/>
      </w:r>
      <w:r>
        <w:rPr>
          <w:rFonts w:hint="eastAsia" w:ascii="黑体" w:hAnsi="黑体" w:eastAsia="黑体" w:cs="黑体"/>
        </w:rPr>
        <w:t>1.1 词语定义</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_Toc10499 \h </w:instrText>
      </w:r>
      <w:r>
        <w:rPr>
          <w:rFonts w:hint="eastAsia" w:ascii="黑体" w:hAnsi="黑体" w:eastAsia="黑体" w:cs="黑体"/>
        </w:rPr>
        <w:fldChar w:fldCharType="separate"/>
      </w:r>
      <w:r>
        <w:rPr>
          <w:rFonts w:hint="eastAsia" w:ascii="黑体" w:hAnsi="黑体" w:eastAsia="黑体" w:cs="黑体"/>
        </w:rPr>
        <w:t>39</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_Toc32582 </w:instrText>
      </w:r>
      <w:r>
        <w:rPr>
          <w:rFonts w:hint="eastAsia" w:ascii="黑体" w:hAnsi="黑体" w:eastAsia="黑体" w:cs="黑体"/>
        </w:rPr>
        <w:fldChar w:fldCharType="separate"/>
      </w:r>
      <w:r>
        <w:rPr>
          <w:rFonts w:hint="eastAsia" w:ascii="黑体" w:hAnsi="黑体" w:eastAsia="黑体" w:cs="黑体"/>
        </w:rPr>
        <w:t>1.2 语言文字</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_Toc32582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_Toc31130 </w:instrText>
      </w:r>
      <w:r>
        <w:rPr>
          <w:rFonts w:hint="eastAsia" w:ascii="黑体" w:hAnsi="黑体" w:eastAsia="黑体" w:cs="黑体"/>
        </w:rPr>
        <w:fldChar w:fldCharType="separate"/>
      </w:r>
      <w:r>
        <w:rPr>
          <w:rFonts w:hint="eastAsia" w:ascii="黑体" w:hAnsi="黑体" w:eastAsia="黑体" w:cs="黑体"/>
        </w:rPr>
        <w:t>1.3 合同文件的优先顺序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_Toc31130 \h </w:instrText>
      </w:r>
      <w:r>
        <w:rPr>
          <w:rFonts w:hint="eastAsia" w:ascii="黑体" w:hAnsi="黑体" w:eastAsia="黑体" w:cs="黑体"/>
        </w:rPr>
        <w:fldChar w:fldCharType="separate"/>
      </w:r>
      <w:r>
        <w:rPr>
          <w:rFonts w:hint="eastAsia" w:ascii="黑体" w:hAnsi="黑体" w:eastAsia="黑体" w:cs="黑体"/>
        </w:rPr>
        <w:t>40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_Toc8242 </w:instrText>
      </w:r>
      <w:r>
        <w:rPr>
          <w:rFonts w:hint="eastAsia" w:ascii="黑体" w:hAnsi="黑体" w:eastAsia="黑体" w:cs="黑体"/>
        </w:rPr>
        <w:fldChar w:fldCharType="separate"/>
      </w:r>
      <w:r>
        <w:rPr>
          <w:rFonts w:hint="eastAsia" w:ascii="黑体" w:hAnsi="黑体" w:eastAsia="黑体" w:cs="黑体"/>
        </w:rPr>
        <w:t>1.4 合同的生效及变更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_Toc8242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_Toc1246 </w:instrText>
      </w:r>
      <w:r>
        <w:rPr>
          <w:rFonts w:hint="eastAsia" w:ascii="黑体" w:hAnsi="黑体" w:eastAsia="黑体" w:cs="黑体"/>
        </w:rPr>
        <w:fldChar w:fldCharType="separate"/>
      </w:r>
      <w:r>
        <w:rPr>
          <w:rFonts w:hint="eastAsia" w:ascii="黑体" w:hAnsi="黑体" w:eastAsia="黑体" w:cs="黑体"/>
        </w:rPr>
        <w:t>1.5 联络</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_Toc1246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_Toc16882 </w:instrText>
      </w:r>
      <w:r>
        <w:rPr>
          <w:rFonts w:hint="eastAsia" w:ascii="黑体" w:hAnsi="黑体" w:eastAsia="黑体" w:cs="黑体"/>
        </w:rPr>
        <w:fldChar w:fldCharType="separate"/>
      </w:r>
      <w:r>
        <w:rPr>
          <w:rFonts w:hint="eastAsia" w:ascii="黑体" w:hAnsi="黑体" w:eastAsia="黑体" w:cs="黑体"/>
        </w:rPr>
        <w:t>1.6 联合体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_Toc16882 \h </w:instrText>
      </w:r>
      <w:r>
        <w:rPr>
          <w:rFonts w:hint="eastAsia" w:ascii="黑体" w:hAnsi="黑体" w:eastAsia="黑体" w:cs="黑体"/>
        </w:rPr>
        <w:fldChar w:fldCharType="separate"/>
      </w:r>
      <w:r>
        <w:rPr>
          <w:rFonts w:hint="eastAsia" w:ascii="黑体" w:hAnsi="黑体" w:eastAsia="黑体" w:cs="黑体"/>
        </w:rPr>
        <w:t>41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_Toc11291 </w:instrText>
      </w:r>
      <w:r>
        <w:rPr>
          <w:rFonts w:hint="eastAsia" w:ascii="黑体" w:hAnsi="黑体" w:eastAsia="黑体" w:cs="黑体"/>
        </w:rPr>
        <w:fldChar w:fldCharType="separate"/>
      </w:r>
      <w:r>
        <w:rPr>
          <w:rFonts w:hint="eastAsia" w:ascii="黑体" w:hAnsi="黑体" w:eastAsia="黑体" w:cs="黑体"/>
        </w:rPr>
        <w:t>1.7 转让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_Toc11291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_Toc8546 </w:instrText>
      </w:r>
      <w:r>
        <w:rPr>
          <w:rFonts w:hint="eastAsia" w:ascii="黑体" w:hAnsi="黑体" w:eastAsia="黑体" w:cs="黑体"/>
        </w:rPr>
        <w:fldChar w:fldCharType="separate"/>
      </w:r>
      <w:r>
        <w:rPr>
          <w:rFonts w:hint="eastAsia" w:ascii="黑体" w:hAnsi="黑体" w:eastAsia="黑体" w:cs="黑体"/>
        </w:rPr>
        <w:t>1.8 知识产权</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_Toc8546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_Toc7804 </w:instrText>
      </w:r>
      <w:r>
        <w:rPr>
          <w:rFonts w:hint="eastAsia" w:ascii="黑体" w:hAnsi="黑体" w:eastAsia="黑体" w:cs="黑体"/>
        </w:rPr>
        <w:fldChar w:fldCharType="separate"/>
      </w:r>
      <w:r>
        <w:rPr>
          <w:rFonts w:hint="eastAsia" w:ascii="黑体" w:hAnsi="黑体" w:eastAsia="黑体" w:cs="黑体"/>
        </w:rPr>
        <w:t>1.9 保密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_Toc7804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_Toc26575 </w:instrText>
      </w:r>
      <w:r>
        <w:rPr>
          <w:rFonts w:hint="eastAsia" w:ascii="黑体" w:hAnsi="黑体" w:eastAsia="黑体" w:cs="黑体"/>
        </w:rPr>
        <w:fldChar w:fldCharType="separate"/>
      </w:r>
      <w:r>
        <w:rPr>
          <w:rFonts w:hint="eastAsia" w:ascii="黑体" w:hAnsi="黑体" w:eastAsia="黑体" w:cs="黑体"/>
          <w:bCs/>
          <w:szCs w:val="32"/>
        </w:rPr>
        <w:t>2. 合同范围</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_Toc26575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_Toc926 </w:instrText>
      </w:r>
      <w:r>
        <w:rPr>
          <w:rFonts w:hint="eastAsia" w:ascii="黑体" w:hAnsi="黑体" w:eastAsia="黑体" w:cs="黑体"/>
        </w:rPr>
        <w:fldChar w:fldCharType="separate"/>
      </w:r>
      <w:r>
        <w:rPr>
          <w:rFonts w:hint="eastAsia" w:ascii="黑体" w:hAnsi="黑体" w:eastAsia="黑体" w:cs="黑体"/>
          <w:bCs/>
          <w:szCs w:val="32"/>
        </w:rPr>
        <w:t>3. 合同价格与支付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_Toc926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_Toc23497 </w:instrText>
      </w:r>
      <w:r>
        <w:rPr>
          <w:rFonts w:hint="eastAsia" w:ascii="黑体" w:hAnsi="黑体" w:eastAsia="黑体" w:cs="黑体"/>
        </w:rPr>
        <w:fldChar w:fldCharType="separate"/>
      </w:r>
      <w:r>
        <w:rPr>
          <w:rFonts w:hint="eastAsia" w:ascii="黑体" w:hAnsi="黑体" w:eastAsia="黑体" w:cs="黑体"/>
        </w:rPr>
        <w:t>3.1 合同价格</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_Toc23497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_Toc22448 </w:instrText>
      </w:r>
      <w:r>
        <w:rPr>
          <w:rFonts w:hint="eastAsia" w:ascii="黑体" w:hAnsi="黑体" w:eastAsia="黑体" w:cs="黑体"/>
        </w:rPr>
        <w:fldChar w:fldCharType="separate"/>
      </w:r>
      <w:r>
        <w:rPr>
          <w:rFonts w:hint="eastAsia" w:ascii="黑体" w:hAnsi="黑体" w:eastAsia="黑体" w:cs="黑体"/>
        </w:rPr>
        <w:t>3.2 合同价款的支付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_Toc22448 \h </w:instrText>
      </w:r>
      <w:r>
        <w:rPr>
          <w:rFonts w:hint="eastAsia" w:ascii="黑体" w:hAnsi="黑体" w:eastAsia="黑体" w:cs="黑体"/>
        </w:rPr>
        <w:fldChar w:fldCharType="separate"/>
      </w:r>
      <w:r>
        <w:rPr>
          <w:rFonts w:hint="eastAsia" w:ascii="黑体" w:hAnsi="黑体" w:eastAsia="黑体" w:cs="黑体"/>
        </w:rPr>
        <w:t>42</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_Toc307 </w:instrText>
      </w:r>
      <w:r>
        <w:rPr>
          <w:rFonts w:hint="eastAsia" w:ascii="黑体" w:hAnsi="黑体" w:eastAsia="黑体" w:cs="黑体"/>
        </w:rPr>
        <w:fldChar w:fldCharType="separate"/>
      </w:r>
      <w:r>
        <w:rPr>
          <w:rFonts w:hint="eastAsia" w:ascii="黑体" w:hAnsi="黑体" w:eastAsia="黑体" w:cs="黑体"/>
        </w:rPr>
        <w:t>3.3 买方扣款的权利</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_Toc307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_Toc28082 </w:instrText>
      </w:r>
      <w:r>
        <w:rPr>
          <w:rFonts w:hint="eastAsia" w:ascii="黑体" w:hAnsi="黑体" w:eastAsia="黑体" w:cs="黑体"/>
        </w:rPr>
        <w:fldChar w:fldCharType="separate"/>
      </w:r>
      <w:r>
        <w:rPr>
          <w:rFonts w:hint="eastAsia" w:ascii="黑体" w:hAnsi="黑体" w:eastAsia="黑体" w:cs="黑体"/>
          <w:bCs/>
          <w:szCs w:val="32"/>
        </w:rPr>
        <w:t>4. 包装、标记、运输和交付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_Toc28082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_Toc27410 </w:instrText>
      </w:r>
      <w:r>
        <w:rPr>
          <w:rFonts w:hint="eastAsia" w:ascii="黑体" w:hAnsi="黑体" w:eastAsia="黑体" w:cs="黑体"/>
        </w:rPr>
        <w:fldChar w:fldCharType="separate"/>
      </w:r>
      <w:r>
        <w:rPr>
          <w:rFonts w:hint="eastAsia" w:ascii="黑体" w:hAnsi="黑体" w:eastAsia="黑体" w:cs="黑体"/>
        </w:rPr>
        <w:t>4.1 包装</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_Toc27410 \h </w:instrText>
      </w:r>
      <w:r>
        <w:rPr>
          <w:rFonts w:hint="eastAsia" w:ascii="黑体" w:hAnsi="黑体" w:eastAsia="黑体" w:cs="黑体"/>
        </w:rPr>
        <w:fldChar w:fldCharType="separate"/>
      </w:r>
      <w:r>
        <w:rPr>
          <w:rFonts w:hint="eastAsia" w:ascii="黑体" w:hAnsi="黑体" w:eastAsia="黑体" w:cs="黑体"/>
        </w:rPr>
        <w:t>43</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_Toc28814 </w:instrText>
      </w:r>
      <w:r>
        <w:rPr>
          <w:rFonts w:hint="eastAsia" w:ascii="黑体" w:hAnsi="黑体" w:eastAsia="黑体" w:cs="黑体"/>
        </w:rPr>
        <w:fldChar w:fldCharType="separate"/>
      </w:r>
      <w:r>
        <w:rPr>
          <w:rFonts w:hint="eastAsia" w:ascii="黑体" w:hAnsi="黑体" w:eastAsia="黑体" w:cs="黑体"/>
        </w:rPr>
        <w:t>4.2 标记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_Toc28814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_Toc21684 </w:instrText>
      </w:r>
      <w:r>
        <w:rPr>
          <w:rFonts w:hint="eastAsia" w:ascii="黑体" w:hAnsi="黑体" w:eastAsia="黑体" w:cs="黑体"/>
        </w:rPr>
        <w:fldChar w:fldCharType="separate"/>
      </w:r>
      <w:r>
        <w:rPr>
          <w:rFonts w:hint="eastAsia" w:ascii="黑体" w:hAnsi="黑体" w:eastAsia="黑体" w:cs="黑体"/>
        </w:rPr>
        <w:t>4.3 运输</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_Toc21684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_Toc16932 </w:instrText>
      </w:r>
      <w:r>
        <w:rPr>
          <w:rFonts w:hint="eastAsia" w:ascii="黑体" w:hAnsi="黑体" w:eastAsia="黑体" w:cs="黑体"/>
        </w:rPr>
        <w:fldChar w:fldCharType="separate"/>
      </w:r>
      <w:r>
        <w:rPr>
          <w:rFonts w:hint="eastAsia" w:ascii="黑体" w:hAnsi="黑体" w:eastAsia="黑体" w:cs="黑体"/>
        </w:rPr>
        <w:t>4.4 交付</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_Toc16932 \h </w:instrText>
      </w:r>
      <w:r>
        <w:rPr>
          <w:rFonts w:hint="eastAsia" w:ascii="黑体" w:hAnsi="黑体" w:eastAsia="黑体" w:cs="黑体"/>
        </w:rPr>
        <w:fldChar w:fldCharType="separate"/>
      </w:r>
      <w:r>
        <w:rPr>
          <w:rFonts w:hint="eastAsia" w:ascii="黑体" w:hAnsi="黑体" w:eastAsia="黑体" w:cs="黑体"/>
        </w:rPr>
        <w:t>44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_Toc1310 </w:instrText>
      </w:r>
      <w:r>
        <w:rPr>
          <w:rFonts w:hint="eastAsia" w:ascii="黑体" w:hAnsi="黑体" w:eastAsia="黑体" w:cs="黑体"/>
        </w:rPr>
        <w:fldChar w:fldCharType="separate"/>
      </w:r>
      <w:r>
        <w:rPr>
          <w:rFonts w:hint="eastAsia" w:ascii="黑体" w:hAnsi="黑体" w:eastAsia="黑体" w:cs="黑体"/>
          <w:bCs/>
          <w:szCs w:val="32"/>
        </w:rPr>
        <w:t>5. 检验和验收</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_Toc1310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_Toc20349 </w:instrText>
      </w:r>
      <w:r>
        <w:rPr>
          <w:rFonts w:hint="eastAsia" w:ascii="黑体" w:hAnsi="黑体" w:eastAsia="黑体" w:cs="黑体"/>
        </w:rPr>
        <w:fldChar w:fldCharType="separate"/>
      </w:r>
      <w:r>
        <w:rPr>
          <w:rFonts w:hint="eastAsia" w:ascii="黑体" w:hAnsi="黑体" w:eastAsia="黑体" w:cs="黑体"/>
          <w:bCs/>
          <w:szCs w:val="32"/>
        </w:rPr>
        <w:t>6. 相关服务</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_Toc20349 \h </w:instrText>
      </w:r>
      <w:r>
        <w:rPr>
          <w:rFonts w:hint="eastAsia" w:ascii="黑体" w:hAnsi="黑体" w:eastAsia="黑体" w:cs="黑体"/>
        </w:rPr>
        <w:fldChar w:fldCharType="separate"/>
      </w:r>
      <w:r>
        <w:rPr>
          <w:rFonts w:hint="eastAsia" w:ascii="黑体" w:hAnsi="黑体" w:eastAsia="黑体" w:cs="黑体"/>
        </w:rPr>
        <w:t>45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_Toc22250 </w:instrText>
      </w:r>
      <w:r>
        <w:rPr>
          <w:rFonts w:hint="eastAsia" w:ascii="黑体" w:hAnsi="黑体" w:eastAsia="黑体" w:cs="黑体"/>
        </w:rPr>
        <w:fldChar w:fldCharType="separate"/>
      </w:r>
      <w:r>
        <w:rPr>
          <w:rFonts w:hint="eastAsia" w:ascii="黑体" w:hAnsi="黑体" w:eastAsia="黑体" w:cs="黑体"/>
          <w:bCs/>
          <w:szCs w:val="32"/>
        </w:rPr>
        <w:t>7. 质量保证期</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_Toc22250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_Toc27579 </w:instrText>
      </w:r>
      <w:r>
        <w:rPr>
          <w:rFonts w:hint="eastAsia" w:ascii="黑体" w:hAnsi="黑体" w:eastAsia="黑体" w:cs="黑体"/>
        </w:rPr>
        <w:fldChar w:fldCharType="separate"/>
      </w:r>
      <w:r>
        <w:rPr>
          <w:rFonts w:hint="eastAsia" w:ascii="黑体" w:hAnsi="黑体" w:eastAsia="黑体" w:cs="黑体"/>
          <w:bCs/>
          <w:szCs w:val="32"/>
        </w:rPr>
        <w:t>8. 履约保证金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_Toc27579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_Toc20463 </w:instrText>
      </w:r>
      <w:r>
        <w:rPr>
          <w:rFonts w:hint="eastAsia" w:ascii="黑体" w:hAnsi="黑体" w:eastAsia="黑体" w:cs="黑体"/>
        </w:rPr>
        <w:fldChar w:fldCharType="separate"/>
      </w:r>
      <w:r>
        <w:rPr>
          <w:rFonts w:hint="eastAsia" w:ascii="黑体" w:hAnsi="黑体" w:eastAsia="黑体" w:cs="黑体"/>
          <w:bCs/>
          <w:szCs w:val="32"/>
        </w:rPr>
        <w:t>9. 保证</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_Toc20463 \h </w:instrText>
      </w:r>
      <w:r>
        <w:rPr>
          <w:rFonts w:hint="eastAsia" w:ascii="黑体" w:hAnsi="黑体" w:eastAsia="黑体" w:cs="黑体"/>
        </w:rPr>
        <w:fldChar w:fldCharType="separate"/>
      </w:r>
      <w:r>
        <w:rPr>
          <w:rFonts w:hint="eastAsia" w:ascii="黑体" w:hAnsi="黑体" w:eastAsia="黑体" w:cs="黑体"/>
        </w:rPr>
        <w:t>46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_Toc3981 </w:instrText>
      </w:r>
      <w:r>
        <w:rPr>
          <w:rFonts w:hint="eastAsia" w:ascii="黑体" w:hAnsi="黑体" w:eastAsia="黑体" w:cs="黑体"/>
        </w:rPr>
        <w:fldChar w:fldCharType="separate"/>
      </w:r>
      <w:r>
        <w:rPr>
          <w:rFonts w:hint="eastAsia" w:ascii="黑体" w:hAnsi="黑体" w:eastAsia="黑体" w:cs="黑体"/>
        </w:rPr>
        <w:t>10. 违约责任</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_Toc3981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_Toc20342 </w:instrText>
      </w:r>
      <w:r>
        <w:rPr>
          <w:rFonts w:hint="eastAsia" w:ascii="黑体" w:hAnsi="黑体" w:eastAsia="黑体" w:cs="黑体"/>
        </w:rPr>
        <w:fldChar w:fldCharType="separate"/>
      </w:r>
      <w:r>
        <w:rPr>
          <w:rFonts w:hint="eastAsia" w:ascii="黑体" w:hAnsi="黑体" w:eastAsia="黑体" w:cs="黑体"/>
        </w:rPr>
        <w:t>11. 合同的解除</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_Toc20342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_Toc2341 </w:instrText>
      </w:r>
      <w:r>
        <w:rPr>
          <w:rFonts w:hint="eastAsia" w:ascii="黑体" w:hAnsi="黑体" w:eastAsia="黑体" w:cs="黑体"/>
        </w:rPr>
        <w:fldChar w:fldCharType="separate"/>
      </w:r>
      <w:r>
        <w:rPr>
          <w:rFonts w:hint="eastAsia" w:ascii="黑体" w:hAnsi="黑体" w:eastAsia="黑体" w:cs="黑体"/>
          <w:bCs/>
          <w:szCs w:val="32"/>
        </w:rPr>
        <w:t>12. 争议的解决</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_Toc2341 \h </w:instrText>
      </w:r>
      <w:r>
        <w:rPr>
          <w:rFonts w:hint="eastAsia" w:ascii="黑体" w:hAnsi="黑体" w:eastAsia="黑体" w:cs="黑体"/>
        </w:rPr>
        <w:fldChar w:fldCharType="separate"/>
      </w:r>
      <w:r>
        <w:rPr>
          <w:rFonts w:hint="eastAsia" w:ascii="黑体" w:hAnsi="黑体" w:eastAsia="黑体" w:cs="黑体"/>
        </w:rPr>
        <w:t>47</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_Toc20165 </w:instrText>
      </w:r>
      <w:r>
        <w:rPr>
          <w:rFonts w:hint="eastAsia" w:ascii="黑体" w:hAnsi="黑体" w:eastAsia="黑体" w:cs="黑体"/>
        </w:rPr>
        <w:fldChar w:fldCharType="separate"/>
      </w:r>
      <w:r>
        <w:rPr>
          <w:rFonts w:hint="eastAsia" w:ascii="黑体" w:hAnsi="黑体" w:eastAsia="黑体" w:cs="黑体"/>
        </w:rPr>
        <w:t>第二节专用合同条款</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_Toc20165 \h </w:instrText>
      </w:r>
      <w:r>
        <w:rPr>
          <w:rFonts w:hint="eastAsia" w:ascii="黑体" w:hAnsi="黑体" w:eastAsia="黑体" w:cs="黑体"/>
        </w:rPr>
        <w:fldChar w:fldCharType="separate"/>
      </w:r>
      <w:r>
        <w:rPr>
          <w:rFonts w:hint="eastAsia" w:ascii="黑体" w:hAnsi="黑体" w:eastAsia="黑体" w:cs="黑体"/>
        </w:rPr>
        <w:t>49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_Toc18698 </w:instrText>
      </w:r>
      <w:r>
        <w:rPr>
          <w:rFonts w:hint="eastAsia" w:ascii="黑体" w:hAnsi="黑体" w:eastAsia="黑体" w:cs="黑体"/>
        </w:rPr>
        <w:fldChar w:fldCharType="separate"/>
      </w:r>
      <w:r>
        <w:rPr>
          <w:rFonts w:hint="eastAsia" w:ascii="黑体" w:hAnsi="黑体" w:eastAsia="黑体" w:cs="黑体"/>
        </w:rPr>
        <w:t>第三节合同附件格式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_Toc18698 \h </w:instrText>
      </w:r>
      <w:r>
        <w:rPr>
          <w:rFonts w:hint="eastAsia" w:ascii="黑体" w:hAnsi="黑体" w:eastAsia="黑体" w:cs="黑体"/>
        </w:rPr>
        <w:fldChar w:fldCharType="separate"/>
      </w:r>
      <w:r>
        <w:rPr>
          <w:rFonts w:hint="eastAsia" w:ascii="黑体" w:hAnsi="黑体" w:eastAsia="黑体" w:cs="黑体"/>
        </w:rPr>
        <w:t>50</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_Toc20290 </w:instrText>
      </w:r>
      <w:r>
        <w:rPr>
          <w:rFonts w:hint="eastAsia" w:ascii="黑体" w:hAnsi="黑体" w:eastAsia="黑体" w:cs="黑体"/>
        </w:rPr>
        <w:fldChar w:fldCharType="separate"/>
      </w:r>
      <w:r>
        <w:rPr>
          <w:rFonts w:hint="eastAsia" w:ascii="黑体" w:hAnsi="黑体" w:eastAsia="黑体" w:cs="黑体"/>
        </w:rPr>
        <w:t>附件一：合同协议书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_Toc20290 \h </w:instrText>
      </w:r>
      <w:r>
        <w:rPr>
          <w:rFonts w:hint="eastAsia" w:ascii="黑体" w:hAnsi="黑体" w:eastAsia="黑体" w:cs="黑体"/>
        </w:rPr>
        <w:fldChar w:fldCharType="separate"/>
      </w:r>
      <w:r>
        <w:rPr>
          <w:rFonts w:hint="eastAsia" w:ascii="黑体" w:hAnsi="黑体" w:eastAsia="黑体" w:cs="黑体"/>
        </w:rPr>
        <w:t>51</w:t>
      </w:r>
      <w:r>
        <w:rPr>
          <w:rFonts w:hint="eastAsia" w:ascii="黑体" w:hAnsi="黑体" w:eastAsia="黑体" w:cs="黑体"/>
        </w:rPr>
        <w:fldChar w:fldCharType="end"/>
      </w:r>
      <w:r>
        <w:rPr>
          <w:rFonts w:hint="eastAsia" w:ascii="黑体" w:hAnsi="黑体" w:eastAsia="黑体" w:cs="黑体"/>
        </w:rPr>
        <w:fldChar w:fldCharType="end"/>
      </w:r>
    </w:p>
    <w:p>
      <w:pPr>
        <w:pStyle w:val="11"/>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_Toc6706 </w:instrText>
      </w:r>
      <w:r>
        <w:rPr>
          <w:rFonts w:hint="eastAsia" w:ascii="黑体" w:hAnsi="黑体" w:eastAsia="黑体" w:cs="黑体"/>
        </w:rPr>
        <w:fldChar w:fldCharType="separate"/>
      </w:r>
      <w:r>
        <w:rPr>
          <w:rFonts w:hint="eastAsia" w:ascii="黑体" w:hAnsi="黑体" w:eastAsia="黑体" w:cs="黑体"/>
        </w:rPr>
        <w:t>附件二：履约保证金格式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_Toc6706 \h </w:instrText>
      </w:r>
      <w:r>
        <w:rPr>
          <w:rFonts w:hint="eastAsia" w:ascii="黑体" w:hAnsi="黑体" w:eastAsia="黑体" w:cs="黑体"/>
        </w:rPr>
        <w:fldChar w:fldCharType="separate"/>
      </w:r>
      <w:r>
        <w:rPr>
          <w:rFonts w:hint="eastAsia" w:ascii="黑体" w:hAnsi="黑体" w:eastAsia="黑体" w:cs="黑体"/>
        </w:rPr>
        <w:t>53</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_Toc10886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六</w:t>
      </w:r>
      <w:r>
        <w:rPr>
          <w:rFonts w:hint="eastAsia" w:ascii="黑体" w:hAnsi="黑体" w:eastAsia="黑体" w:cs="黑体"/>
        </w:rPr>
        <w:t>章供货要求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_Toc10886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_Toc18513 </w:instrText>
      </w:r>
      <w:r>
        <w:rPr>
          <w:rFonts w:hint="eastAsia" w:ascii="黑体" w:hAnsi="黑体" w:eastAsia="黑体" w:cs="黑体"/>
        </w:rPr>
        <w:fldChar w:fldCharType="separate"/>
      </w:r>
      <w:r>
        <w:rPr>
          <w:rFonts w:hint="eastAsia" w:ascii="黑体" w:hAnsi="黑体" w:eastAsia="黑体" w:cs="黑体"/>
          <w:szCs w:val="28"/>
        </w:rPr>
        <w:t>一、项目概况及总体要求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_Toc18513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_Toc23563 </w:instrText>
      </w:r>
      <w:r>
        <w:rPr>
          <w:rFonts w:hint="eastAsia" w:ascii="黑体" w:hAnsi="黑体" w:eastAsia="黑体" w:cs="黑体"/>
        </w:rPr>
        <w:fldChar w:fldCharType="separate"/>
      </w:r>
      <w:r>
        <w:rPr>
          <w:rFonts w:hint="eastAsia" w:ascii="黑体" w:hAnsi="黑体" w:eastAsia="黑体" w:cs="黑体"/>
          <w:szCs w:val="28"/>
        </w:rPr>
        <w:t>二、材料需求一览表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_Toc23563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_Toc3392 </w:instrText>
      </w:r>
      <w:r>
        <w:rPr>
          <w:rFonts w:hint="eastAsia" w:ascii="黑体" w:hAnsi="黑体" w:eastAsia="黑体" w:cs="黑体"/>
        </w:rPr>
        <w:fldChar w:fldCharType="separate"/>
      </w:r>
      <w:r>
        <w:rPr>
          <w:rFonts w:hint="eastAsia" w:ascii="黑体" w:hAnsi="黑体" w:eastAsia="黑体" w:cs="黑体"/>
          <w:szCs w:val="28"/>
        </w:rPr>
        <w:t>三、 质量标准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_Toc3392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_Toc22883 </w:instrText>
      </w:r>
      <w:r>
        <w:rPr>
          <w:rFonts w:hint="eastAsia" w:ascii="黑体" w:hAnsi="黑体" w:eastAsia="黑体" w:cs="黑体"/>
        </w:rPr>
        <w:fldChar w:fldCharType="separate"/>
      </w:r>
      <w:r>
        <w:rPr>
          <w:rFonts w:hint="eastAsia" w:ascii="黑体" w:hAnsi="黑体" w:eastAsia="黑体" w:cs="黑体"/>
          <w:szCs w:val="28"/>
        </w:rPr>
        <w:t>四、验收标准</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_Toc22883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_Toc9954 </w:instrText>
      </w:r>
      <w:r>
        <w:rPr>
          <w:rFonts w:hint="eastAsia" w:ascii="黑体" w:hAnsi="黑体" w:eastAsia="黑体" w:cs="黑体"/>
        </w:rPr>
        <w:fldChar w:fldCharType="separate"/>
      </w:r>
      <w:r>
        <w:rPr>
          <w:rFonts w:hint="eastAsia" w:ascii="黑体" w:hAnsi="黑体" w:eastAsia="黑体" w:cs="黑体"/>
          <w:szCs w:val="28"/>
        </w:rPr>
        <w:t>五、相关服务要求</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_Toc9954 \h </w:instrText>
      </w:r>
      <w:r>
        <w:rPr>
          <w:rFonts w:hint="eastAsia" w:ascii="黑体" w:hAnsi="黑体" w:eastAsia="黑体" w:cs="黑体"/>
        </w:rPr>
        <w:fldChar w:fldCharType="separate"/>
      </w:r>
      <w:r>
        <w:rPr>
          <w:rFonts w:hint="eastAsia" w:ascii="黑体" w:hAnsi="黑体" w:eastAsia="黑体" w:cs="黑体"/>
        </w:rPr>
        <w:t>54</w:t>
      </w:r>
      <w:r>
        <w:rPr>
          <w:rFonts w:hint="eastAsia" w:ascii="黑体" w:hAnsi="黑体" w:eastAsia="黑体" w:cs="黑体"/>
        </w:rPr>
        <w:fldChar w:fldCharType="end"/>
      </w:r>
      <w:r>
        <w:rPr>
          <w:rFonts w:hint="eastAsia" w:ascii="黑体" w:hAnsi="黑体" w:eastAsia="黑体" w:cs="黑体"/>
        </w:rPr>
        <w:fldChar w:fldCharType="end"/>
      </w:r>
    </w:p>
    <w:p>
      <w:pPr>
        <w:pStyle w:val="18"/>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_Toc29981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val="en-US" w:eastAsia="zh-CN"/>
        </w:rPr>
        <w:t>七</w:t>
      </w:r>
      <w:r>
        <w:rPr>
          <w:rFonts w:hint="eastAsia" w:ascii="黑体" w:hAnsi="黑体" w:eastAsia="黑体" w:cs="黑体"/>
        </w:rPr>
        <w:t>章投标文件格式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_Toc29981 \h </w:instrText>
      </w:r>
      <w:r>
        <w:rPr>
          <w:rFonts w:hint="eastAsia" w:ascii="黑体" w:hAnsi="黑体" w:eastAsia="黑体" w:cs="黑体"/>
        </w:rPr>
        <w:fldChar w:fldCharType="separate"/>
      </w:r>
      <w:r>
        <w:rPr>
          <w:rFonts w:hint="eastAsia" w:ascii="黑体" w:hAnsi="黑体" w:eastAsia="黑体" w:cs="黑体"/>
        </w:rPr>
        <w:t>55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_Toc16631 </w:instrText>
      </w:r>
      <w:r>
        <w:rPr>
          <w:rFonts w:hint="eastAsia" w:ascii="黑体" w:hAnsi="黑体" w:eastAsia="黑体" w:cs="黑体"/>
        </w:rPr>
        <w:fldChar w:fldCharType="separate"/>
      </w:r>
      <w:r>
        <w:rPr>
          <w:rFonts w:hint="eastAsia" w:ascii="黑体" w:hAnsi="黑体" w:eastAsia="黑体" w:cs="黑体"/>
        </w:rPr>
        <w:t>目录</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_Toc16631 \h </w:instrText>
      </w:r>
      <w:r>
        <w:rPr>
          <w:rFonts w:hint="eastAsia" w:ascii="黑体" w:hAnsi="黑体" w:eastAsia="黑体" w:cs="黑体"/>
        </w:rPr>
        <w:fldChar w:fldCharType="separate"/>
      </w:r>
      <w:r>
        <w:rPr>
          <w:rFonts w:hint="eastAsia" w:ascii="黑体" w:hAnsi="黑体" w:eastAsia="黑体" w:cs="黑体"/>
        </w:rPr>
        <w:t>57</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_Toc27065 </w:instrText>
      </w:r>
      <w:r>
        <w:rPr>
          <w:rFonts w:hint="eastAsia" w:ascii="黑体" w:hAnsi="黑体" w:eastAsia="黑体" w:cs="黑体"/>
        </w:rPr>
        <w:fldChar w:fldCharType="separate"/>
      </w:r>
      <w:r>
        <w:rPr>
          <w:rFonts w:hint="eastAsia" w:ascii="黑体" w:hAnsi="黑体" w:eastAsia="黑体" w:cs="黑体"/>
        </w:rPr>
        <w:t>一、投标函</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_Toc27065 \h </w:instrText>
      </w:r>
      <w:r>
        <w:rPr>
          <w:rFonts w:hint="eastAsia" w:ascii="黑体" w:hAnsi="黑体" w:eastAsia="黑体" w:cs="黑体"/>
        </w:rPr>
        <w:fldChar w:fldCharType="separate"/>
      </w:r>
      <w:r>
        <w:rPr>
          <w:rFonts w:hint="eastAsia" w:ascii="黑体" w:hAnsi="黑体" w:eastAsia="黑体" w:cs="黑体"/>
        </w:rPr>
        <w:t>58</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_Toc31415 </w:instrText>
      </w:r>
      <w:r>
        <w:rPr>
          <w:rFonts w:hint="eastAsia" w:ascii="黑体" w:hAnsi="黑体" w:eastAsia="黑体" w:cs="黑体"/>
        </w:rPr>
        <w:fldChar w:fldCharType="separate"/>
      </w:r>
      <w:r>
        <w:rPr>
          <w:rFonts w:hint="eastAsia" w:ascii="黑体" w:hAnsi="黑体" w:eastAsia="黑体" w:cs="黑体"/>
        </w:rPr>
        <w:t>二、法定代表人身份证明或授权委托书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_Toc31415 \h </w:instrText>
      </w:r>
      <w:r>
        <w:rPr>
          <w:rFonts w:hint="eastAsia" w:ascii="黑体" w:hAnsi="黑体" w:eastAsia="黑体" w:cs="黑体"/>
        </w:rPr>
        <w:fldChar w:fldCharType="separate"/>
      </w:r>
      <w:r>
        <w:rPr>
          <w:rFonts w:hint="eastAsia" w:ascii="黑体" w:hAnsi="黑体" w:eastAsia="黑体" w:cs="黑体"/>
        </w:rPr>
        <w:t>60</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_Toc21854 </w:instrText>
      </w:r>
      <w:r>
        <w:rPr>
          <w:rFonts w:hint="eastAsia" w:ascii="黑体" w:hAnsi="黑体" w:eastAsia="黑体" w:cs="黑体"/>
        </w:rPr>
        <w:fldChar w:fldCharType="separate"/>
      </w:r>
      <w:r>
        <w:rPr>
          <w:rFonts w:hint="eastAsia" w:ascii="黑体" w:hAnsi="黑体" w:eastAsia="黑体" w:cs="黑体"/>
        </w:rPr>
        <w:t>三、联合体协议书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_Toc21854 \h </w:instrText>
      </w:r>
      <w:r>
        <w:rPr>
          <w:rFonts w:hint="eastAsia" w:ascii="黑体" w:hAnsi="黑体" w:eastAsia="黑体" w:cs="黑体"/>
        </w:rPr>
        <w:fldChar w:fldCharType="separate"/>
      </w:r>
      <w:r>
        <w:rPr>
          <w:rFonts w:hint="eastAsia" w:ascii="黑体" w:hAnsi="黑体" w:eastAsia="黑体" w:cs="黑体"/>
        </w:rPr>
        <w:t>62</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_Toc20022 </w:instrText>
      </w:r>
      <w:r>
        <w:rPr>
          <w:rFonts w:hint="eastAsia" w:ascii="黑体" w:hAnsi="黑体" w:eastAsia="黑体" w:cs="黑体"/>
        </w:rPr>
        <w:fldChar w:fldCharType="separate"/>
      </w:r>
      <w:r>
        <w:rPr>
          <w:rFonts w:hint="eastAsia" w:ascii="黑体" w:hAnsi="黑体" w:eastAsia="黑体" w:cs="黑体"/>
        </w:rPr>
        <w:t>四、投标保证金</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_Toc20022 \h </w:instrText>
      </w:r>
      <w:r>
        <w:rPr>
          <w:rFonts w:hint="eastAsia" w:ascii="黑体" w:hAnsi="黑体" w:eastAsia="黑体" w:cs="黑体"/>
        </w:rPr>
        <w:fldChar w:fldCharType="separate"/>
      </w:r>
      <w:r>
        <w:rPr>
          <w:rFonts w:hint="eastAsia" w:ascii="黑体" w:hAnsi="黑体" w:eastAsia="黑体" w:cs="黑体"/>
        </w:rPr>
        <w:t>63</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_Toc29749 </w:instrText>
      </w:r>
      <w:r>
        <w:rPr>
          <w:rFonts w:hint="eastAsia" w:ascii="黑体" w:hAnsi="黑体" w:eastAsia="黑体" w:cs="黑体"/>
        </w:rPr>
        <w:fldChar w:fldCharType="separate"/>
      </w:r>
      <w:r>
        <w:rPr>
          <w:rFonts w:hint="eastAsia" w:ascii="黑体" w:hAnsi="黑体" w:eastAsia="黑体" w:cs="黑体"/>
        </w:rPr>
        <w:t>五、商务和技术偏差表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_Toc29749 \h </w:instrText>
      </w:r>
      <w:r>
        <w:rPr>
          <w:rFonts w:hint="eastAsia" w:ascii="黑体" w:hAnsi="黑体" w:eastAsia="黑体" w:cs="黑体"/>
        </w:rPr>
        <w:fldChar w:fldCharType="separate"/>
      </w:r>
      <w:r>
        <w:rPr>
          <w:rFonts w:hint="eastAsia" w:ascii="黑体" w:hAnsi="黑体" w:eastAsia="黑体" w:cs="黑体"/>
        </w:rPr>
        <w:t>64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_Toc4052 </w:instrText>
      </w:r>
      <w:r>
        <w:rPr>
          <w:rFonts w:hint="eastAsia" w:ascii="黑体" w:hAnsi="黑体" w:eastAsia="黑体" w:cs="黑体"/>
        </w:rPr>
        <w:fldChar w:fldCharType="separate"/>
      </w:r>
      <w:r>
        <w:rPr>
          <w:rFonts w:hint="eastAsia" w:ascii="黑体" w:hAnsi="黑体" w:eastAsia="黑体" w:cs="黑体"/>
        </w:rPr>
        <w:t>六、分项报价表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_Toc4052 \h </w:instrText>
      </w:r>
      <w:r>
        <w:rPr>
          <w:rFonts w:hint="eastAsia" w:ascii="黑体" w:hAnsi="黑体" w:eastAsia="黑体" w:cs="黑体"/>
        </w:rPr>
        <w:fldChar w:fldCharType="separate"/>
      </w:r>
      <w:r>
        <w:rPr>
          <w:rFonts w:hint="eastAsia" w:ascii="黑体" w:hAnsi="黑体" w:eastAsia="黑体" w:cs="黑体"/>
        </w:rPr>
        <w:t>65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_Toc5774 </w:instrText>
      </w:r>
      <w:r>
        <w:rPr>
          <w:rFonts w:hint="eastAsia" w:ascii="黑体" w:hAnsi="黑体" w:eastAsia="黑体" w:cs="黑体"/>
        </w:rPr>
        <w:fldChar w:fldCharType="separate"/>
      </w:r>
      <w:r>
        <w:rPr>
          <w:rFonts w:hint="eastAsia" w:ascii="黑体" w:hAnsi="黑体" w:eastAsia="黑体" w:cs="黑体"/>
        </w:rPr>
        <w:t>七、资格审查资料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_Toc5774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_Toc11852 </w:instrText>
      </w:r>
      <w:r>
        <w:rPr>
          <w:rFonts w:hint="eastAsia" w:ascii="黑体" w:hAnsi="黑体" w:eastAsia="黑体" w:cs="黑体"/>
        </w:rPr>
        <w:fldChar w:fldCharType="separate"/>
      </w:r>
      <w:r>
        <w:rPr>
          <w:rFonts w:hint="eastAsia" w:ascii="黑体" w:hAnsi="黑体" w:eastAsia="黑体" w:cs="黑体"/>
        </w:rPr>
        <w:t>（一）投标人基本情况表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_Toc11852 \h </w:instrText>
      </w:r>
      <w:r>
        <w:rPr>
          <w:rFonts w:hint="eastAsia" w:ascii="黑体" w:hAnsi="黑体" w:eastAsia="黑体" w:cs="黑体"/>
        </w:rPr>
        <w:fldChar w:fldCharType="separate"/>
      </w:r>
      <w:r>
        <w:rPr>
          <w:rFonts w:hint="eastAsia" w:ascii="黑体" w:hAnsi="黑体" w:eastAsia="黑体" w:cs="黑体"/>
        </w:rPr>
        <w:t>66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_Toc31036 </w:instrText>
      </w:r>
      <w:r>
        <w:rPr>
          <w:rFonts w:hint="eastAsia" w:ascii="黑体" w:hAnsi="黑体" w:eastAsia="黑体" w:cs="黑体"/>
        </w:rPr>
        <w:fldChar w:fldCharType="separate"/>
      </w:r>
      <w:r>
        <w:rPr>
          <w:rFonts w:hint="eastAsia" w:ascii="黑体" w:hAnsi="黑体" w:eastAsia="黑体" w:cs="黑体"/>
        </w:rPr>
        <w:t>（二）近年财务状况表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_Toc31036 \h </w:instrText>
      </w:r>
      <w:r>
        <w:rPr>
          <w:rFonts w:hint="eastAsia" w:ascii="黑体" w:hAnsi="黑体" w:eastAsia="黑体" w:cs="黑体"/>
        </w:rPr>
        <w:fldChar w:fldCharType="separate"/>
      </w:r>
      <w:r>
        <w:rPr>
          <w:rFonts w:hint="eastAsia" w:ascii="黑体" w:hAnsi="黑体" w:eastAsia="黑体" w:cs="黑体"/>
        </w:rPr>
        <w:t>68</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_Toc24608 </w:instrText>
      </w:r>
      <w:r>
        <w:rPr>
          <w:rFonts w:hint="eastAsia" w:ascii="黑体" w:hAnsi="黑体" w:eastAsia="黑体" w:cs="黑体"/>
        </w:rPr>
        <w:fldChar w:fldCharType="separate"/>
      </w:r>
      <w:r>
        <w:rPr>
          <w:rFonts w:hint="eastAsia" w:ascii="黑体" w:hAnsi="黑体" w:eastAsia="黑体" w:cs="黑体"/>
        </w:rPr>
        <w:t>（三）近年完成的类似项目情况表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_Toc24608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_Toc6605 </w:instrText>
      </w:r>
      <w:r>
        <w:rPr>
          <w:rFonts w:hint="eastAsia" w:ascii="黑体" w:hAnsi="黑体" w:eastAsia="黑体" w:cs="黑体"/>
        </w:rPr>
        <w:fldChar w:fldCharType="separate"/>
      </w:r>
      <w:r>
        <w:rPr>
          <w:rFonts w:hint="eastAsia" w:ascii="黑体" w:hAnsi="黑体" w:eastAsia="黑体" w:cs="黑体"/>
        </w:rPr>
        <w:t>（四）正在</w:t>
      </w:r>
      <w:r>
        <w:rPr>
          <w:rFonts w:hint="eastAsia" w:ascii="黑体" w:hAnsi="黑体" w:eastAsia="黑体" w:cs="黑体"/>
          <w:lang w:val="en-US" w:eastAsia="zh-CN"/>
        </w:rPr>
        <w:t>供货</w:t>
      </w:r>
      <w:r>
        <w:rPr>
          <w:rFonts w:hint="eastAsia" w:ascii="黑体" w:hAnsi="黑体" w:eastAsia="黑体" w:cs="黑体"/>
        </w:rPr>
        <w:t>的和新承接的项目情况表</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_Toc6605 \h </w:instrText>
      </w:r>
      <w:r>
        <w:rPr>
          <w:rFonts w:hint="eastAsia" w:ascii="黑体" w:hAnsi="黑体" w:eastAsia="黑体" w:cs="黑体"/>
        </w:rPr>
        <w:fldChar w:fldCharType="separate"/>
      </w:r>
      <w:r>
        <w:rPr>
          <w:rFonts w:hint="eastAsia" w:ascii="黑体" w:hAnsi="黑体" w:eastAsia="黑体" w:cs="黑体"/>
        </w:rPr>
        <w:t>70</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_Toc4460 </w:instrText>
      </w:r>
      <w:r>
        <w:rPr>
          <w:rFonts w:hint="eastAsia" w:ascii="黑体" w:hAnsi="黑体" w:eastAsia="黑体" w:cs="黑体"/>
        </w:rPr>
        <w:fldChar w:fldCharType="separate"/>
      </w:r>
      <w:r>
        <w:rPr>
          <w:rFonts w:hint="eastAsia" w:ascii="黑体" w:hAnsi="黑体" w:eastAsia="黑体" w:cs="黑体"/>
        </w:rPr>
        <w:t>（五）</w:t>
      </w:r>
      <w:r>
        <w:rPr>
          <w:rFonts w:hint="eastAsia" w:ascii="黑体" w:hAnsi="黑体" w:eastAsia="黑体" w:cs="黑体"/>
          <w:lang w:val="en-US" w:eastAsia="zh-CN"/>
        </w:rPr>
        <w:t>企业获奖</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_Toc4460 \h </w:instrText>
      </w:r>
      <w:r>
        <w:rPr>
          <w:rFonts w:hint="eastAsia" w:ascii="黑体" w:hAnsi="黑体" w:eastAsia="黑体" w:cs="黑体"/>
        </w:rPr>
        <w:fldChar w:fldCharType="separate"/>
      </w:r>
      <w:r>
        <w:rPr>
          <w:rFonts w:hint="eastAsia" w:ascii="黑体" w:hAnsi="黑体" w:eastAsia="黑体" w:cs="黑体"/>
        </w:rPr>
        <w:t>71</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_Toc11658 </w:instrText>
      </w:r>
      <w:r>
        <w:rPr>
          <w:rFonts w:hint="eastAsia" w:ascii="黑体" w:hAnsi="黑体" w:eastAsia="黑体" w:cs="黑体"/>
        </w:rPr>
        <w:fldChar w:fldCharType="separate"/>
      </w:r>
      <w:r>
        <w:rPr>
          <w:rFonts w:hint="eastAsia" w:ascii="黑体" w:hAnsi="黑体" w:eastAsia="黑体" w:cs="黑体"/>
        </w:rPr>
        <w:t>（六）企业</w:t>
      </w:r>
      <w:r>
        <w:rPr>
          <w:rFonts w:hint="eastAsia" w:ascii="黑体" w:hAnsi="黑体" w:eastAsia="黑体" w:cs="黑体"/>
          <w:lang w:val="en-US" w:eastAsia="zh-CN"/>
        </w:rPr>
        <w:t>各类证书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_Toc11658 \h </w:instrText>
      </w:r>
      <w:r>
        <w:rPr>
          <w:rFonts w:hint="eastAsia" w:ascii="黑体" w:hAnsi="黑体" w:eastAsia="黑体" w:cs="黑体"/>
        </w:rPr>
        <w:fldChar w:fldCharType="separate"/>
      </w:r>
      <w:r>
        <w:rPr>
          <w:rFonts w:hint="eastAsia" w:ascii="黑体" w:hAnsi="黑体" w:eastAsia="黑体" w:cs="黑体"/>
        </w:rPr>
        <w:t>72</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_Toc15731 </w:instrText>
      </w:r>
      <w:r>
        <w:rPr>
          <w:rFonts w:hint="eastAsia" w:ascii="黑体" w:hAnsi="黑体" w:eastAsia="黑体" w:cs="黑体"/>
        </w:rPr>
        <w:fldChar w:fldCharType="separate"/>
      </w:r>
      <w:r>
        <w:rPr>
          <w:rFonts w:hint="eastAsia" w:ascii="黑体" w:hAnsi="黑体" w:eastAsia="黑体" w:cs="黑体"/>
          <w:lang w:val="en-US" w:eastAsia="zh-CN"/>
        </w:rPr>
        <w:t>（七）制造商授权书</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_Toc15731 \h </w:instrText>
      </w:r>
      <w:r>
        <w:rPr>
          <w:rFonts w:hint="eastAsia" w:ascii="黑体" w:hAnsi="黑体" w:eastAsia="黑体" w:cs="黑体"/>
        </w:rPr>
        <w:fldChar w:fldCharType="separate"/>
      </w:r>
      <w:r>
        <w:rPr>
          <w:rFonts w:hint="eastAsia" w:ascii="黑体" w:hAnsi="黑体" w:eastAsia="黑体" w:cs="黑体"/>
        </w:rPr>
        <w:t>73</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_Toc22878 </w:instrText>
      </w:r>
      <w:r>
        <w:rPr>
          <w:rFonts w:hint="eastAsia" w:ascii="黑体" w:hAnsi="黑体" w:eastAsia="黑体" w:cs="黑体"/>
        </w:rPr>
        <w:fldChar w:fldCharType="separate"/>
      </w:r>
      <w:r>
        <w:rPr>
          <w:rFonts w:hint="eastAsia" w:ascii="黑体" w:hAnsi="黑体" w:eastAsia="黑体" w:cs="黑体"/>
        </w:rPr>
        <w:t>八、投标材料质量标准的详细描述</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_Toc22878 \h </w:instrText>
      </w:r>
      <w:r>
        <w:rPr>
          <w:rFonts w:hint="eastAsia" w:ascii="黑体" w:hAnsi="黑体" w:eastAsia="黑体" w:cs="黑体"/>
        </w:rPr>
        <w:fldChar w:fldCharType="separate"/>
      </w:r>
      <w:r>
        <w:rPr>
          <w:rFonts w:hint="eastAsia" w:ascii="黑体" w:hAnsi="黑体" w:eastAsia="黑体" w:cs="黑体"/>
        </w:rPr>
        <w:t>74</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_Toc31067 </w:instrText>
      </w:r>
      <w:r>
        <w:rPr>
          <w:rFonts w:hint="eastAsia" w:ascii="黑体" w:hAnsi="黑体" w:eastAsia="黑体" w:cs="黑体"/>
        </w:rPr>
        <w:fldChar w:fldCharType="separate"/>
      </w:r>
      <w:r>
        <w:rPr>
          <w:rFonts w:hint="eastAsia" w:ascii="黑体" w:hAnsi="黑体" w:eastAsia="黑体" w:cs="黑体"/>
        </w:rPr>
        <w:t>九、技术支持资料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_Toc31067 \h </w:instrText>
      </w:r>
      <w:r>
        <w:rPr>
          <w:rFonts w:hint="eastAsia" w:ascii="黑体" w:hAnsi="黑体" w:eastAsia="黑体" w:cs="黑体"/>
        </w:rPr>
        <w:fldChar w:fldCharType="separate"/>
      </w:r>
      <w:r>
        <w:rPr>
          <w:rFonts w:hint="eastAsia" w:ascii="黑体" w:hAnsi="黑体" w:eastAsia="黑体" w:cs="黑体"/>
        </w:rPr>
        <w:t>75</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_Toc31257 </w:instrText>
      </w:r>
      <w:r>
        <w:rPr>
          <w:rFonts w:hint="eastAsia" w:ascii="黑体" w:hAnsi="黑体" w:eastAsia="黑体" w:cs="黑体"/>
        </w:rPr>
        <w:fldChar w:fldCharType="separate"/>
      </w:r>
      <w:r>
        <w:rPr>
          <w:rFonts w:hint="eastAsia" w:ascii="黑体" w:hAnsi="黑体" w:eastAsia="黑体" w:cs="黑体"/>
        </w:rPr>
        <w:t>十、相关服务计划</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_Toc31257 \h </w:instrText>
      </w:r>
      <w:r>
        <w:rPr>
          <w:rFonts w:hint="eastAsia" w:ascii="黑体" w:hAnsi="黑体" w:eastAsia="黑体" w:cs="黑体"/>
        </w:rPr>
        <w:fldChar w:fldCharType="separate"/>
      </w:r>
      <w:r>
        <w:rPr>
          <w:rFonts w:hint="eastAsia" w:ascii="黑体" w:hAnsi="黑体" w:eastAsia="黑体" w:cs="黑体"/>
        </w:rPr>
        <w:t>76</w:t>
      </w:r>
      <w:r>
        <w:rPr>
          <w:rFonts w:hint="eastAsia" w:ascii="黑体" w:hAnsi="黑体" w:eastAsia="黑体" w:cs="黑体"/>
        </w:rPr>
        <w:fldChar w:fldCharType="end"/>
      </w:r>
      <w:r>
        <w:rPr>
          <w:rFonts w:hint="eastAsia" w:ascii="黑体" w:hAnsi="黑体" w:eastAsia="黑体" w:cs="黑体"/>
        </w:rPr>
        <w:fldChar w:fldCharType="end"/>
      </w:r>
    </w:p>
    <w:p>
      <w:pPr>
        <w:pStyle w:val="22"/>
        <w:tabs>
          <w:tab w:val="right" w:leader="dot" w:pos="8640"/>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_Toc25072 </w:instrText>
      </w:r>
      <w:r>
        <w:rPr>
          <w:rFonts w:hint="eastAsia" w:ascii="黑体" w:hAnsi="黑体" w:eastAsia="黑体" w:cs="黑体"/>
        </w:rPr>
        <w:fldChar w:fldCharType="separate"/>
      </w:r>
      <w:r>
        <w:rPr>
          <w:rFonts w:hint="eastAsia" w:ascii="黑体" w:hAnsi="黑体" w:eastAsia="黑体" w:cs="黑体"/>
        </w:rPr>
        <w:t>十一、</w:t>
      </w:r>
      <w:r>
        <w:rPr>
          <w:rFonts w:hint="eastAsia" w:ascii="黑体" w:hAnsi="黑体" w:eastAsia="黑体" w:cs="黑体"/>
          <w:lang w:val="en-US" w:eastAsia="zh-CN"/>
        </w:rPr>
        <w:t>投标人须知前附表规定的</w:t>
      </w:r>
      <w:r>
        <w:rPr>
          <w:rFonts w:hint="eastAsia" w:ascii="黑体" w:hAnsi="黑体" w:eastAsia="黑体" w:cs="黑体"/>
        </w:rPr>
        <w:t>其他资料</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_Toc25072 \h </w:instrText>
      </w:r>
      <w:r>
        <w:rPr>
          <w:rFonts w:hint="eastAsia" w:ascii="黑体" w:hAnsi="黑体" w:eastAsia="黑体" w:cs="黑体"/>
        </w:rPr>
        <w:fldChar w:fldCharType="separate"/>
      </w:r>
      <w:r>
        <w:rPr>
          <w:rFonts w:hint="eastAsia" w:ascii="黑体" w:hAnsi="黑体" w:eastAsia="黑体" w:cs="黑体"/>
        </w:rPr>
        <w:t>77</w:t>
      </w:r>
      <w:r>
        <w:rPr>
          <w:rFonts w:hint="eastAsia" w:ascii="黑体" w:hAnsi="黑体" w:eastAsia="黑体" w:cs="黑体"/>
        </w:rPr>
        <w:fldChar w:fldCharType="end"/>
      </w:r>
      <w:r>
        <w:rPr>
          <w:rFonts w:hint="eastAsia" w:ascii="黑体" w:hAnsi="黑体" w:eastAsia="黑体" w:cs="黑体"/>
        </w:rPr>
        <w:fldChar w:fldCharType="end"/>
      </w:r>
    </w:p>
    <w:p>
      <w:pPr>
        <w:rPr>
          <w:rFonts w:ascii="Times New Roman" w:hAnsi="Times New Roman"/>
        </w:rPr>
      </w:pPr>
      <w:r>
        <w:rPr>
          <w:rFonts w:hint="eastAsia" w:ascii="黑体" w:hAnsi="黑体" w:eastAsia="黑体" w:cs="黑体"/>
        </w:rPr>
        <w:fldChar w:fldCharType="end"/>
      </w:r>
    </w:p>
    <w:p>
      <w:pPr>
        <w:rPr>
          <w:rFonts w:ascii="Times New Roman" w:hAnsi="Times New Roman"/>
        </w:rPr>
        <w:sectPr>
          <w:pgSz w:w="12240" w:h="15840"/>
          <w:pgMar w:top="1440" w:right="1800" w:bottom="1440" w:left="1800" w:header="720" w:footer="720" w:gutter="0"/>
          <w:pgNumType w:start="1"/>
          <w:cols w:space="720" w:num="1"/>
          <w:docGrid w:linePitch="285" w:charSpace="0"/>
        </w:sectPr>
      </w:pPr>
    </w:p>
    <w:p>
      <w:pPr>
        <w:rPr>
          <w:color w:val="000000"/>
        </w:rPr>
      </w:pPr>
      <w:r>
        <w:rPr>
          <w:color w:val="000000"/>
        </w:rPr>
        <w:br w:type="page"/>
      </w:r>
    </w:p>
    <w:p>
      <w:pPr>
        <w:pStyle w:val="2"/>
        <w:spacing w:line="240" w:lineRule="auto"/>
        <w:jc w:val="center"/>
        <w:rPr>
          <w:color w:val="000000"/>
        </w:rPr>
      </w:pPr>
      <w:bookmarkStart w:id="3" w:name="_Toc28138"/>
      <w:r>
        <w:rPr>
          <w:color w:val="000000"/>
        </w:rPr>
        <w:t>第一章招标公告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jc w:val="center"/>
        <w:rPr>
          <w:color w:val="000000"/>
        </w:rPr>
      </w:pPr>
      <w:bookmarkStart w:id="4" w:name="_Toc24243"/>
      <w:r>
        <w:rPr>
          <w:color w:val="000000"/>
        </w:rPr>
        <w:t>第二章投标人须知</w:t>
      </w:r>
      <w:bookmarkEnd w:id="4"/>
    </w:p>
    <w:p>
      <w:pPr>
        <w:pStyle w:val="3"/>
        <w:rPr>
          <w:rFonts w:ascii="Times New Roman" w:hAnsi="Times New Roman"/>
          <w:color w:val="000000"/>
        </w:rPr>
      </w:pPr>
      <w:bookmarkStart w:id="5" w:name="_Toc4073"/>
      <w:r>
        <w:rPr>
          <w:rFonts w:ascii="Times New Roman" w:hAnsi="Times New Roman"/>
          <w:color w:val="000000"/>
        </w:rPr>
        <w:t>投标人须知前附表</w:t>
      </w:r>
      <w:bookmarkEnd w:id="5"/>
    </w:p>
    <w:tbl>
      <w:tblPr>
        <w:tblStyle w:val="25"/>
        <w:tblW w:w="9322" w:type="dxa"/>
        <w:tblInd w:w="0" w:type="dxa"/>
        <w:tblLayout w:type="fixed"/>
        <w:tblCellMar>
          <w:top w:w="0" w:type="dxa"/>
          <w:left w:w="108" w:type="dxa"/>
          <w:bottom w:w="0" w:type="dxa"/>
          <w:right w:w="108" w:type="dxa"/>
        </w:tblCellMar>
      </w:tblPr>
      <w:tblGrid>
        <w:gridCol w:w="1165"/>
        <w:gridCol w:w="2641"/>
        <w:gridCol w:w="5516"/>
      </w:tblGrid>
      <w:tr>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工程项目名称</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color w:val="000000"/>
                <w:highlight w:val="yellow"/>
                <w:lang w:val="en-US" w:eastAsia="zh-CN"/>
              </w:rPr>
            </w:pPr>
            <w:r>
              <w:rPr>
                <w:rFonts w:ascii="Times New Roman" w:hAnsi="Times New Roman"/>
                <w:color w:val="000000"/>
              </w:rPr>
              <w:t>交货期：</w:t>
            </w:r>
            <w:r>
              <w:rPr>
                <w:rFonts w:ascii="Times New Roman" w:hAnsi="Times New Roman"/>
                <w:color w:val="000000"/>
                <w:u w:val="single"/>
              </w:rPr>
              <w:t xml:space="preserve">       </w:t>
            </w:r>
            <w:r>
              <w:rPr>
                <w:rFonts w:hint="eastAsia" w:ascii="Times New Roman" w:hAnsi="Times New Roman"/>
                <w:color w:val="000000"/>
                <w:highlight w:val="none"/>
                <w:u w:val="none"/>
                <w:lang w:val="en-US" w:eastAsia="zh-CN"/>
              </w:rPr>
              <w:t>天</w:t>
            </w:r>
          </w:p>
          <w:p>
            <w:pPr>
              <w:spacing w:line="440" w:lineRule="exact"/>
              <w:rPr>
                <w:rFonts w:ascii="Times New Roman" w:hAnsi="Times New Roman"/>
                <w:color w:val="000000"/>
              </w:rPr>
            </w:pPr>
            <w:r>
              <w:rPr>
                <w:rFonts w:ascii="Times New Roman" w:hAnsi="Times New Roman"/>
                <w:color w:val="000000"/>
              </w:rPr>
              <w:t>计划开始</w:t>
            </w:r>
            <w:r>
              <w:rPr>
                <w:rFonts w:hint="eastAsia" w:ascii="Times New Roman" w:hAnsi="Times New Roman"/>
                <w:color w:val="000000"/>
              </w:rPr>
              <w:t>交货</w:t>
            </w:r>
            <w:r>
              <w:rPr>
                <w:rFonts w:ascii="Times New Roman" w:hAnsi="Times New Roman"/>
                <w:color w:val="000000"/>
              </w:rPr>
              <w:t>日期：</w:t>
            </w:r>
            <w:r>
              <w:rPr>
                <w:rFonts w:ascii="Times New Roman" w:hAnsi="Times New Roman" w:eastAsia="黑体"/>
                <w:color w:val="000000"/>
                <w:sz w:val="28"/>
                <w:u w:val="single"/>
              </w:rPr>
              <w:t xml:space="preserve">   </w:t>
            </w:r>
            <w:r>
              <w:rPr>
                <w:rFonts w:ascii="Times New Roman" w:hAnsi="Times New Roman"/>
                <w:color w:val="000000"/>
              </w:rPr>
              <w:t>年</w:t>
            </w:r>
            <w:r>
              <w:rPr>
                <w:rFonts w:ascii="Times New Roman" w:hAnsi="Times New Roman" w:eastAsia="黑体"/>
                <w:color w:val="000000"/>
                <w:sz w:val="28"/>
                <w:u w:val="single"/>
              </w:rPr>
              <w:t xml:space="preserve">    </w:t>
            </w:r>
            <w:r>
              <w:rPr>
                <w:rFonts w:ascii="Times New Roman" w:hAnsi="Times New Roman"/>
                <w:color w:val="000000"/>
              </w:rPr>
              <w:t>月</w:t>
            </w:r>
            <w:r>
              <w:rPr>
                <w:rFonts w:ascii="Times New Roman" w:hAnsi="Times New Roman" w:eastAsia="黑体"/>
                <w:color w:val="000000"/>
                <w:sz w:val="28"/>
                <w:u w:val="single"/>
              </w:rPr>
              <w:t xml:space="preserve">   </w:t>
            </w:r>
            <w:r>
              <w:rPr>
                <w:rFonts w:ascii="Times New Roman" w:hAnsi="Times New Roman"/>
                <w:color w:val="000000"/>
              </w:rPr>
              <w:t>日</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olor w:val="000000"/>
              </w:rPr>
            </w:pPr>
            <w:r>
              <w:rPr>
                <w:rFonts w:ascii="Times New Roman" w:hAnsi="Times New Roman"/>
                <w:color w:val="000000"/>
              </w:rPr>
              <w:t>1.3.4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质量标准</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64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项目材料采购</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w:t>
            </w:r>
            <w:r>
              <w:rPr>
                <w:rFonts w:hint="eastAsia" w:ascii="宋体" w:hAnsi="宋体"/>
                <w:szCs w:val="21"/>
                <w:lang w:val="en-US" w:eastAsia="zh-CN"/>
              </w:rPr>
              <w:t>有关</w:t>
            </w:r>
            <w:r>
              <w:rPr>
                <w:rFonts w:hint="eastAsia" w:ascii="宋体" w:hAnsi="宋体"/>
                <w:szCs w:val="21"/>
                <w:highlight w:val="none"/>
                <w:lang w:val="en-US" w:eastAsia="zh-CN"/>
              </w:rPr>
              <w:t>行政</w:t>
            </w:r>
            <w:r>
              <w:rPr>
                <w:rFonts w:ascii="宋体" w:hAnsi="宋体"/>
                <w:szCs w:val="21"/>
              </w:rPr>
              <w:t>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spacing w:line="440" w:lineRule="exact"/>
              <w:rPr>
                <w:rFonts w:ascii="Times New Roman" w:hAnsi="Times New Roman"/>
                <w:color w:val="000000"/>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51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w:t>
            </w:r>
            <w:r>
              <w:rPr>
                <w:rFonts w:hint="eastAsia" w:ascii="Times New Roman" w:hAnsi="Times New Roman" w:eastAsiaTheme="minorEastAsia"/>
                <w:color w:val="000000"/>
                <w:lang w:val="en-US" w:eastAsia="zh-CN"/>
              </w:rPr>
              <w:t>9</w:t>
            </w:r>
            <w:r>
              <w:rPr>
                <w:rFonts w:ascii="Times New Roman" w:hAnsi="Times New Roman" w:eastAsiaTheme="minorEastAsia"/>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w:t>
            </w:r>
            <w:r>
              <w:rPr>
                <w:rFonts w:hint="eastAsia" w:ascii="Times New Roman" w:hAnsi="Times New Roman"/>
                <w:szCs w:val="21"/>
              </w:rPr>
              <w:t>，</w:t>
            </w:r>
            <w:r>
              <w:rPr>
                <w:rFonts w:ascii="Times New Roman" w:hAnsi="Times New Roman"/>
                <w:szCs w:val="21"/>
              </w:rPr>
              <w:t>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0</w:t>
            </w:r>
            <w:r>
              <w:rPr>
                <w:rFonts w:ascii="Times New Roman" w:hAnsi="Times New Roman"/>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rPr>
              <w:t>其他可以被接受的技术支持资料</w:t>
            </w:r>
          </w:p>
        </w:tc>
        <w:tc>
          <w:tcPr>
            <w:tcW w:w="5516" w:type="dxa"/>
            <w:tcBorders>
              <w:top w:val="single" w:color="auto" w:sz="4" w:space="0"/>
              <w:left w:val="single" w:color="auto" w:sz="4" w:space="0"/>
              <w:bottom w:val="single" w:color="auto" w:sz="4" w:space="0"/>
              <w:right w:val="single" w:color="auto" w:sz="4" w:space="0"/>
            </w:tcBorders>
          </w:tcPr>
          <w:p>
            <w:pPr>
              <w:pStyle w:val="9"/>
              <w:topLinePunct/>
              <w:spacing w:line="400" w:lineRule="exact"/>
              <w:ind w:firstLine="945" w:firstLineChars="450"/>
              <w:rPr>
                <w:rFonts w:ascii="Times New Roman" w:hAnsi="Times New Roman"/>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0</w:t>
            </w:r>
            <w:r>
              <w:rPr>
                <w:rFonts w:ascii="Times New Roman" w:hAnsi="Times New Roman"/>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516"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9"/>
              <w:topLinePunct/>
              <w:spacing w:line="400" w:lineRule="exact"/>
              <w:rPr>
                <w:rFonts w:ascii="Times New Roman" w:hAnsi="Times New Roman"/>
                <w:sz w:val="21"/>
                <w:szCs w:val="22"/>
              </w:rPr>
            </w:pPr>
            <w:r>
              <w:rPr>
                <w:rFonts w:ascii="Times New Roman" w:hAnsi="Times New Roman"/>
                <w:sz w:val="32"/>
              </w:rPr>
              <w:t>□</w:t>
            </w:r>
            <w:r>
              <w:rPr>
                <w:rFonts w:ascii="Times New Roman" w:hAnsi="Times New Roman"/>
                <w:szCs w:val="21"/>
              </w:rPr>
              <w:t>允许，</w:t>
            </w:r>
            <w:r>
              <w:rPr>
                <w:rFonts w:ascii="Times New Roman" w:hAnsi="Times New Roman"/>
                <w:sz w:val="21"/>
                <w:szCs w:val="22"/>
              </w:rPr>
              <w:t>偏差范围：</w:t>
            </w:r>
          </w:p>
          <w:p>
            <w:pPr>
              <w:pStyle w:val="9"/>
              <w:topLinePunct/>
              <w:spacing w:line="400" w:lineRule="exact"/>
              <w:ind w:firstLine="945" w:firstLineChars="450"/>
              <w:rPr>
                <w:rFonts w:ascii="Times New Roman" w:hAnsi="Times New Roman"/>
                <w:sz w:val="21"/>
                <w:szCs w:val="22"/>
              </w:rPr>
            </w:pPr>
            <w:r>
              <w:rPr>
                <w:rFonts w:ascii="Times New Roman" w:hAnsi="Times New Roman"/>
                <w:sz w:val="21"/>
                <w:szCs w:val="22"/>
              </w:rPr>
              <w:t>最高项数：</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641"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641"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641"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00834946"/>
            <w:bookmarkStart w:id="7" w:name="_Toc352691470"/>
            <w:bookmarkStart w:id="8" w:name="_Toc384308207"/>
            <w:bookmarkStart w:id="9" w:name="_Toc1789"/>
            <w:bookmarkStart w:id="10" w:name="_Toc361508582"/>
            <w:bookmarkStart w:id="11" w:name="_Toc369531512"/>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before="143" w:beforeLines="50" w:after="143" w:afterLines="50" w:line="24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9"/>
              <w:keepNext w:val="0"/>
              <w:keepLines w:val="0"/>
              <w:pageBreakBefore w:val="0"/>
              <w:kinsoku/>
              <w:wordWrap/>
              <w:overflowPunct/>
              <w:topLinePunct/>
              <w:autoSpaceDE/>
              <w:autoSpaceDN/>
              <w:bidi w:val="0"/>
              <w:adjustRightInd/>
              <w:snapToGrid/>
              <w:spacing w:before="143" w:beforeLines="50" w:after="143" w:afterLines="50" w:line="24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9"/>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投标文件所附证书证件要求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keepNext w:val="0"/>
              <w:keepLines w:val="0"/>
              <w:pageBreakBefore w:val="0"/>
              <w:widowControl w:val="0"/>
              <w:kinsoku/>
              <w:wordWrap/>
              <w:overflowPunct/>
              <w:topLinePunct/>
              <w:autoSpaceDE/>
              <w:autoSpaceDN/>
              <w:bidi w:val="0"/>
              <w:adjustRightInd/>
              <w:snapToGrid/>
              <w:spacing w:before="143" w:beforeLines="50" w:after="143" w:afterLines="50" w:line="240" w:lineRule="auto"/>
              <w:textAlignment w:val="auto"/>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autoSpaceDE/>
              <w:autoSpaceDN/>
              <w:bidi w:val="0"/>
              <w:adjustRightInd/>
              <w:snapToGrid/>
              <w:spacing w:line="36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9"/>
              <w:topLinePunct/>
              <w:spacing w:line="360" w:lineRule="auto"/>
              <w:rPr>
                <w:rFonts w:ascii="Times New Roman" w:hAnsi="Times New Roman"/>
                <w:color w:val="000000"/>
                <w:sz w:val="32"/>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r>
              <w:rPr>
                <w:rFonts w:hint="eastAsia" w:ascii="Times New Roman" w:hAnsi="Times New Roman"/>
                <w:color w:val="000000"/>
                <w:sz w:val="21"/>
                <w:szCs w:val="21"/>
                <w:highlight w:val="yellow"/>
              </w:rPr>
              <w:t>否则招标人将予以拒收。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4.2.3</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投标文件是否退还</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2"/>
              </w:rPr>
            </w:pPr>
            <w:r>
              <w:rPr>
                <w:rFonts w:ascii="Times New Roman" w:hAnsi="Times New Roman"/>
                <w:szCs w:val="22"/>
              </w:rPr>
              <w:t>否</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641"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516"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评标委员会推荐中标候选人的人数</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lang w:eastAsia="zh-CN"/>
              </w:rPr>
            </w:pPr>
            <w:r>
              <w:rPr>
                <w:rFonts w:hint="eastAsia"/>
                <w:color w:val="000000"/>
                <w:lang w:eastAsia="zh-CN"/>
              </w:rPr>
              <w:t>中标候选人按照不见面开标时唱标页面排序进行展示</w:t>
            </w:r>
            <w:r>
              <w:commentReference w:id="0"/>
            </w: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rPr>
              <w:t>，</w:t>
            </w:r>
            <w:r>
              <w:rPr>
                <w:rFonts w:hint="eastAsia"/>
                <w:color w:val="000000"/>
                <w:lang w:val="en-US" w:eastAsia="zh-CN"/>
              </w:rPr>
              <w:t>名</w:t>
            </w:r>
            <w:r>
              <w:rPr>
                <w:rFonts w:hint="eastAsia"/>
                <w:color w:val="000000"/>
                <w:lang w:eastAsia="zh-CN"/>
              </w:rPr>
              <w:t>（</w:t>
            </w:r>
            <w:commentRangeStart w:id="1"/>
            <w:r>
              <w:rPr>
                <w:rFonts w:hint="eastAsia"/>
                <w:color w:val="000000"/>
                <w:lang w:val="en-US" w:eastAsia="zh-CN"/>
              </w:rPr>
              <w:t>原则为</w:t>
            </w:r>
            <w:r>
              <w:rPr>
                <w:rFonts w:hint="eastAsia"/>
                <w:color w:val="000000"/>
              </w:rPr>
              <w:t>3</w:t>
            </w:r>
            <w:r>
              <w:rPr>
                <w:rFonts w:hint="eastAsia"/>
                <w:color w:val="000000"/>
                <w:lang w:eastAsia="zh-CN"/>
              </w:rPr>
              <w:t>—</w:t>
            </w:r>
            <w:r>
              <w:rPr>
                <w:rFonts w:hint="eastAsia"/>
                <w:color w:val="000000"/>
                <w:lang w:val="en-US" w:eastAsia="zh-CN"/>
              </w:rPr>
              <w:t>7名</w:t>
            </w:r>
            <w:commentRangeEnd w:id="1"/>
            <w:r>
              <w:commentReference w:id="1"/>
            </w:r>
            <w:r>
              <w:rPr>
                <w:rFonts w:hint="eastAsia"/>
                <w:color w:val="000000"/>
                <w:lang w:eastAsia="zh-CN"/>
              </w:rPr>
              <w:t>）。</w:t>
            </w:r>
          </w:p>
          <w:p>
            <w:pPr>
              <w:spacing w:line="440" w:lineRule="exact"/>
              <w:rPr>
                <w:rFonts w:ascii="Times New Roman" w:hAnsi="Times New Roman"/>
                <w:color w:val="000000"/>
              </w:rPr>
            </w:pPr>
            <w:r>
              <w:rPr>
                <w:rFonts w:hint="eastAsia" w:ascii="Times New Roman" w:hAnsi="Times New Roman" w:eastAsia="宋体" w:cs="Times New Roman"/>
                <w:color w:val="000000"/>
              </w:rPr>
              <w:t>不足规定的推荐数量，则通过评审的有效投标人全部推荐为</w:t>
            </w:r>
            <w:r>
              <w:rPr>
                <w:rFonts w:hint="eastAsia" w:ascii="Times New Roman" w:hAnsi="Times New Roman" w:cs="Times New Roman"/>
                <w:color w:val="000000"/>
                <w:lang w:eastAsia="zh-CN"/>
              </w:rPr>
              <w:t>中标候选人</w:t>
            </w:r>
            <w:r>
              <w:rPr>
                <w:rFonts w:hint="eastAsia" w:ascii="Times New Roman" w:hAnsi="Times New Roman" w:eastAsia="宋体" w:cs="Times New Roman"/>
                <w:color w:val="000000"/>
              </w:rPr>
              <w:t>。</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rPr>
              <w:t>7.1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hint="eastAsia" w:ascii="Times New Roman" w:hAnsi="Times New Roman"/>
                <w:lang w:val="en-US" w:eastAsia="zh-CN"/>
              </w:rPr>
              <w:t>定标委员会</w:t>
            </w:r>
          </w:p>
        </w:tc>
        <w:tc>
          <w:tcPr>
            <w:tcW w:w="55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ind w:left="630" w:hanging="630" w:hangingChars="300"/>
              <w:jc w:val="both"/>
              <w:textAlignment w:val="auto"/>
              <w:rPr>
                <w:rFonts w:hint="eastAsia"/>
                <w:lang w:val="en-US" w:eastAsia="zh-CN"/>
              </w:rPr>
            </w:pPr>
            <w:r>
              <w:rPr>
                <w:rFonts w:hint="eastAsia"/>
                <w:lang w:val="en-US" w:eastAsia="zh-CN"/>
              </w:rPr>
              <w:t>定标委员会构成：</w:t>
            </w:r>
            <w:r>
              <w:rPr>
                <w:rFonts w:hint="eastAsia"/>
                <w:u w:val="single"/>
                <w:lang w:val="en-US" w:eastAsia="zh-CN"/>
              </w:rPr>
              <w:t xml:space="preserve">    </w:t>
            </w:r>
            <w:r>
              <w:rPr>
                <w:rFonts w:hint="eastAsia"/>
                <w:lang w:val="en-US" w:eastAsia="zh-CN"/>
              </w:rPr>
              <w:t>人，其中招标人成员</w:t>
            </w:r>
            <w:r>
              <w:rPr>
                <w:rFonts w:hint="eastAsia"/>
                <w:u w:val="single"/>
                <w:lang w:val="en-US" w:eastAsia="zh-CN"/>
              </w:rPr>
              <w:t xml:space="preserve">     </w:t>
            </w:r>
            <w:r>
              <w:rPr>
                <w:rFonts w:hint="eastAsia"/>
                <w:lang w:val="en-US" w:eastAsia="zh-CN"/>
              </w:rPr>
              <w:t>人、</w:t>
            </w:r>
          </w:p>
          <w:p>
            <w:pPr>
              <w:keepNext w:val="0"/>
              <w:keepLines w:val="0"/>
              <w:pageBreakBefore w:val="0"/>
              <w:kinsoku/>
              <w:wordWrap/>
              <w:overflowPunct/>
              <w:bidi w:val="0"/>
              <w:spacing w:before="143" w:beforeLines="50" w:after="143" w:afterLines="50" w:line="240" w:lineRule="auto"/>
              <w:jc w:val="both"/>
              <w:textAlignment w:val="auto"/>
              <w:rPr>
                <w:rFonts w:hint="eastAsia"/>
                <w:lang w:val="en-US" w:eastAsia="zh-CN"/>
              </w:rPr>
            </w:pPr>
            <w:r>
              <w:rPr>
                <w:rFonts w:hint="eastAsia"/>
                <w:lang w:val="en-US" w:eastAsia="zh-CN"/>
              </w:rPr>
              <w:t>项目业主成员</w:t>
            </w:r>
            <w:r>
              <w:rPr>
                <w:rFonts w:hint="eastAsia"/>
                <w:u w:val="single"/>
                <w:lang w:val="en-US" w:eastAsia="zh-CN"/>
              </w:rPr>
              <w:t xml:space="preserve">     </w:t>
            </w:r>
            <w:r>
              <w:rPr>
                <w:rFonts w:hint="eastAsia"/>
                <w:lang w:val="en-US" w:eastAsia="zh-CN"/>
              </w:rPr>
              <w:t>人、使用单位成员</w:t>
            </w:r>
            <w:r>
              <w:rPr>
                <w:rFonts w:hint="eastAsia"/>
                <w:u w:val="single"/>
                <w:lang w:val="en-US" w:eastAsia="zh-CN"/>
              </w:rPr>
              <w:t xml:space="preserve">      </w:t>
            </w:r>
            <w:r>
              <w:rPr>
                <w:rFonts w:hint="eastAsia"/>
                <w:lang w:val="en-US" w:eastAsia="zh-CN"/>
              </w:rPr>
              <w:t>人。</w:t>
            </w:r>
          </w:p>
          <w:p>
            <w:pPr>
              <w:spacing w:line="440" w:lineRule="exact"/>
              <w:rPr>
                <w:rFonts w:ascii="Times New Roman" w:hAnsi="Times New Roman"/>
                <w:color w:val="000000"/>
                <w:sz w:val="32"/>
              </w:rPr>
            </w:pPr>
            <w:r>
              <w:rPr>
                <w:rFonts w:hint="default"/>
                <w:b/>
                <w:bCs/>
                <w:highlight w:val="none"/>
                <w:lang w:val="en-US" w:eastAsia="zh-CN"/>
              </w:rPr>
              <w:t>招标人负责组建定标委员会。定标委员会实行招标人负责制，由招标人的法定代表人或者主要负责人担任定标委员会组长，成员数量为5人以上单数，应在招标文件中明确。招标人可以指定定标委员会成员，指定成员（含组长）不得超过定标委员会成员总数的三分之一，其他成员按照招标文件中明确的人员类别从定标人员库中按不少于2：1的比例随机产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516"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9"/>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spacing w:line="440" w:lineRule="exact"/>
              <w:rPr>
                <w:rFonts w:ascii="Times New Roman" w:hAnsi="Times New Roman"/>
              </w:rPr>
            </w:pPr>
            <w:r>
              <w:rPr>
                <w:rFonts w:ascii="Times New Roman" w:hAnsi="Times New Roman"/>
                <w:color w:val="000000"/>
                <w:sz w:val="32"/>
              </w:rPr>
              <w:t>□</w:t>
            </w:r>
            <w:r>
              <w:rPr>
                <w:rFonts w:ascii="Times New Roman" w:hAnsi="Times New Roman"/>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10</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eastAsiaTheme="minorEastAsia"/>
              </w:rPr>
              <w:t>是否采用电子招标投标</w:t>
            </w:r>
          </w:p>
        </w:tc>
        <w:tc>
          <w:tcPr>
            <w:tcW w:w="551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1</w:t>
            </w:r>
          </w:p>
        </w:tc>
        <w:tc>
          <w:tcPr>
            <w:tcW w:w="2641"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需要补充的其他内容</w:t>
            </w:r>
          </w:p>
        </w:tc>
        <w:tc>
          <w:tcPr>
            <w:tcW w:w="5516"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647"/>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9498"/>
      <w:r>
        <w:rPr>
          <w:rFonts w:ascii="Times New Roman" w:hAnsi="Times New Roman"/>
          <w:color w:val="000000"/>
        </w:rPr>
        <w:t>1.1 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1.1.1根据《中华人民共和国招标投标法》、《中华人民共和国招标投标法实施条例》等有关法律、法规和规章的规定，本招标项目已具备招标条件，现对材料采购进行招标。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1.1.4招标项目名称：见投标人须知前附表。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1.1.5工程项目名称：即招标项目所属的工程建设项目，见投标人须知前附表。</w:t>
      </w:r>
    </w:p>
    <w:p>
      <w:pPr>
        <w:pStyle w:val="4"/>
        <w:spacing w:line="240" w:lineRule="auto"/>
        <w:ind w:firstLine="137"/>
        <w:rPr>
          <w:rFonts w:ascii="Times New Roman" w:hAnsi="Times New Roman"/>
          <w:color w:val="000000"/>
        </w:rPr>
      </w:pPr>
      <w:bookmarkStart w:id="14" w:name="_Toc26255"/>
      <w:r>
        <w:rPr>
          <w:rFonts w:ascii="Times New Roman" w:hAnsi="Times New Roman"/>
          <w:color w:val="000000"/>
        </w:rPr>
        <w:t>1.2 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7508"/>
      <w:r>
        <w:rPr>
          <w:rFonts w:ascii="Times New Roman" w:hAnsi="Times New Roman"/>
          <w:color w:val="000000"/>
        </w:rPr>
        <w:t>1.3招标范围、交货期、交货地点和质量标准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交货期：见投标人须知前附表。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交货地点：见投标人须知前附表。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1.3.4 质量标准：见投标人须知前附表。</w:t>
      </w:r>
    </w:p>
    <w:p>
      <w:pPr>
        <w:pStyle w:val="4"/>
        <w:spacing w:line="240" w:lineRule="auto"/>
        <w:ind w:firstLine="137"/>
        <w:rPr>
          <w:rFonts w:ascii="Times New Roman" w:hAnsi="Times New Roman"/>
          <w:color w:val="000000"/>
        </w:rPr>
      </w:pPr>
      <w:bookmarkStart w:id="16" w:name="_Toc25475"/>
      <w:r>
        <w:rPr>
          <w:rFonts w:ascii="Times New Roman" w:hAnsi="Times New Roman"/>
          <w:color w:val="000000"/>
        </w:rPr>
        <w:t>1.4投标人资格要求</w:t>
      </w:r>
      <w:bookmarkEnd w:id="16"/>
    </w:p>
    <w:p>
      <w:pPr>
        <w:spacing w:line="400" w:lineRule="exact"/>
        <w:ind w:firstLine="420" w:firstLineChars="200"/>
        <w:rPr>
          <w:rFonts w:ascii="Times New Roman" w:hAnsi="Times New Roman"/>
        </w:rPr>
      </w:pPr>
      <w:r>
        <w:rPr>
          <w:rFonts w:ascii="Times New Roman" w:hAnsi="Times New Roman"/>
          <w:color w:val="000000"/>
        </w:rPr>
        <w:t>1.4.1</w:t>
      </w:r>
      <w:r>
        <w:rPr>
          <w:rFonts w:hint="eastAsia" w:ascii="Times New Roman" w:hAnsi="Times New Roman"/>
          <w:color w:val="000000"/>
        </w:rPr>
        <w:t xml:space="preserve"> </w:t>
      </w:r>
      <w:r>
        <w:rPr>
          <w:rFonts w:ascii="Times New Roman" w:hAnsi="Times New Roman"/>
          <w:color w:val="000000"/>
        </w:rPr>
        <w:t>投标人应具备承担本招标项目资质条件、能力和信誉</w:t>
      </w:r>
      <w:r>
        <w:rPr>
          <w:rFonts w:ascii="Times New Roman" w:hAnsi="Times New Roman"/>
        </w:rPr>
        <w:t>：</w:t>
      </w:r>
    </w:p>
    <w:p>
      <w:pPr>
        <w:spacing w:line="400" w:lineRule="exact"/>
        <w:ind w:firstLine="315" w:firstLineChars="150"/>
        <w:rPr>
          <w:rFonts w:ascii="Times New Roman" w:hAnsi="Times New Roman"/>
          <w:color w:val="000000"/>
        </w:rPr>
      </w:pPr>
      <w:r>
        <w:rPr>
          <w:rFonts w:ascii="Times New Roman" w:hAnsi="Times New Roman"/>
          <w:color w:val="000000"/>
        </w:rPr>
        <w:t>（1）资质要求：见投标人须知前附表；</w:t>
      </w:r>
    </w:p>
    <w:p>
      <w:pPr>
        <w:spacing w:line="400" w:lineRule="exact"/>
        <w:ind w:firstLine="315" w:firstLineChars="150"/>
        <w:rPr>
          <w:rFonts w:ascii="Times New Roman" w:hAnsi="Times New Roman"/>
          <w:color w:val="000000"/>
        </w:rPr>
      </w:pPr>
      <w:r>
        <w:rPr>
          <w:rFonts w:ascii="Times New Roman" w:hAnsi="Times New Roman"/>
          <w:color w:val="000000"/>
        </w:rPr>
        <w:t>（2）</w:t>
      </w:r>
      <w:r>
        <w:rPr>
          <w:rFonts w:ascii="Times New Roman" w:hAnsi="Times New Roman"/>
        </w:rPr>
        <w:t>财务</w:t>
      </w:r>
      <w:r>
        <w:rPr>
          <w:rFonts w:ascii="Times New Roman" w:hAnsi="Times New Roman"/>
          <w:color w:val="000000"/>
        </w:rPr>
        <w:t>要求：见投标人须知前附表；</w:t>
      </w:r>
    </w:p>
    <w:p>
      <w:pPr>
        <w:spacing w:line="400" w:lineRule="exact"/>
        <w:ind w:firstLine="315" w:firstLineChars="150"/>
        <w:rPr>
          <w:rFonts w:ascii="Times New Roman" w:hAnsi="Times New Roman"/>
        </w:rPr>
      </w:pPr>
      <w:r>
        <w:rPr>
          <w:rFonts w:ascii="Times New Roman" w:hAnsi="Times New Roman"/>
        </w:rPr>
        <w:t>（3）业绩要求：见投标人须知前附表；</w:t>
      </w:r>
    </w:p>
    <w:p>
      <w:pPr>
        <w:spacing w:line="400" w:lineRule="exact"/>
        <w:ind w:firstLine="315" w:firstLineChars="150"/>
        <w:rPr>
          <w:rFonts w:ascii="Times New Roman" w:hAnsi="Times New Roman"/>
        </w:rPr>
      </w:pPr>
      <w:r>
        <w:rPr>
          <w:rFonts w:ascii="Times New Roman" w:hAnsi="Times New Roman"/>
        </w:rPr>
        <w:t>（4）信誉要求：见投标人须知前附表；</w:t>
      </w:r>
    </w:p>
    <w:p>
      <w:pPr>
        <w:spacing w:line="400" w:lineRule="exact"/>
        <w:ind w:firstLine="315" w:firstLineChars="150"/>
        <w:rPr>
          <w:rFonts w:ascii="Times New Roman" w:hAnsi="Times New Roman"/>
        </w:rPr>
      </w:pPr>
      <w:r>
        <w:rPr>
          <w:rFonts w:ascii="Times New Roman" w:hAnsi="Times New Roman"/>
        </w:rPr>
        <w:t>（5）其他要求：见投标人须知前附表</w:t>
      </w:r>
      <w:r>
        <w:rPr>
          <w:rFonts w:hint="eastAsia" w:ascii="Times New Roman" w:hAnsi="Times New Roman"/>
        </w:rPr>
        <w:t>。</w:t>
      </w:r>
    </w:p>
    <w:p>
      <w:pPr>
        <w:spacing w:line="400" w:lineRule="exact"/>
        <w:ind w:firstLine="420" w:firstLineChars="200"/>
        <w:rPr>
          <w:rFonts w:ascii="Times New Roman" w:hAnsi="Times New Roman"/>
        </w:rPr>
      </w:pPr>
      <w:r>
        <w:rPr>
          <w:rFonts w:ascii="Times New Roman" w:hAnsi="Times New Roman"/>
        </w:rPr>
        <w:t>投标人为代理经销商的，对投标人的资质要求包含对制造商的资质要求，对投标人的业绩要求包含对投标材料的业绩要求。</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eastAsia="宋体"/>
          <w:highlight w:val="none"/>
          <w:lang w:eastAsia="zh-CN"/>
        </w:rPr>
      </w:pPr>
      <w:r>
        <w:rPr>
          <w:rFonts w:hint="eastAsia" w:ascii="Times New Roman" w:hAnsi="Times New Roman"/>
          <w:highlight w:val="none"/>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commentReference w:id="2"/>
      </w: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32176"/>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9327"/>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52691477"/>
      <w:bookmarkStart w:id="20" w:name="_Toc369531519"/>
      <w:bookmarkStart w:id="21" w:name="_Toc5326"/>
      <w:bookmarkStart w:id="22" w:name="_Toc361508589"/>
      <w:bookmarkStart w:id="23" w:name="_Toc384308214"/>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24074"/>
      <w:r>
        <w:rPr>
          <w:rFonts w:ascii="Times New Roman" w:hAnsi="Times New Roman"/>
          <w:color w:val="000000"/>
        </w:rPr>
        <w:t>1.7 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16030"/>
      <w:r>
        <w:rPr>
          <w:rFonts w:ascii="Times New Roman" w:hAnsi="Times New Roman"/>
          <w:color w:val="000000"/>
        </w:rPr>
        <w:t>1.8计量单位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28644"/>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 分包</w:t>
      </w:r>
      <w:bookmarkEnd w:id="26"/>
    </w:p>
    <w:p>
      <w:pPr>
        <w:spacing w:line="400" w:lineRule="exact"/>
        <w:ind w:firstLine="420" w:firstLineChars="200"/>
        <w:rPr>
          <w:rFonts w:ascii="Times New Roman" w:hAnsi="Times New Roman"/>
          <w:color w:val="000000"/>
          <w:szCs w:val="2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 xml:space="preserve">.1 投标人拟在中标后将中标项目的非主体材料进行分包的，应符合投标人须知前附表规定的分包内容、分包金额和资质要求等限制性条件，除投标人须知前附表规定的非主体材料外，其他工作不得分包。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w:t>
      </w:r>
      <w:r>
        <w:rPr>
          <w:rFonts w:hint="eastAsia" w:ascii="Times New Roman" w:hAnsi="Times New Roman"/>
          <w:color w:val="000000"/>
          <w:lang w:val="en-US" w:eastAsia="zh-CN"/>
        </w:rPr>
        <w:t>9</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27" w:name="_Toc12672"/>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响应和偏差</w:t>
      </w:r>
      <w:bookmarkEnd w:id="27"/>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投标材料质量标准的详细描述、技术支持资料及相关服务计划等内容以对招标文件作出响应。</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.4 投标人须知前附表规定了可以偏差的范围和最高偏差项数的，偏差应当符合投标人须知前附表规定的偏差范围和最高项数，超出偏差范围和最高偏差项数的投标将被否决。</w:t>
      </w:r>
    </w:p>
    <w:p>
      <w:pPr>
        <w:spacing w:line="400" w:lineRule="exact"/>
        <w:ind w:firstLine="420" w:firstLineChars="200"/>
        <w:rPr>
          <w:rFonts w:ascii="Times New Roman" w:hAnsi="Times New Roman"/>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.5 投标文件对招标文件的全部偏差，均应在投标文件的</w:t>
      </w:r>
      <w:r>
        <w:rPr>
          <w:rFonts w:ascii="Times New Roman" w:hAnsi="Times New Roman"/>
          <w:szCs w:val="21"/>
        </w:rPr>
        <w:t>商务和技术偏差表</w:t>
      </w:r>
      <w:r>
        <w:rPr>
          <w:rFonts w:ascii="Times New Roman" w:hAnsi="Times New Roman"/>
          <w:color w:val="000000"/>
        </w:rPr>
        <w:t>中列明，除</w:t>
      </w:r>
      <w:r>
        <w:rPr>
          <w:rFonts w:ascii="Times New Roman" w:hAnsi="Times New Roman"/>
          <w:szCs w:val="21"/>
        </w:rPr>
        <w:t>列明的内容外，视为投标人响应招标文件的全部要求。</w:t>
      </w:r>
    </w:p>
    <w:p>
      <w:pPr>
        <w:pStyle w:val="3"/>
        <w:rPr>
          <w:rFonts w:ascii="Times New Roman" w:hAnsi="Times New Roman"/>
          <w:color w:val="000000"/>
        </w:rPr>
      </w:pPr>
      <w:bookmarkStart w:id="28" w:name="_Toc16659"/>
      <w:r>
        <w:rPr>
          <w:rFonts w:ascii="Times New Roman" w:hAnsi="Times New Roman"/>
          <w:color w:val="000000"/>
        </w:rPr>
        <w:t>2. 招标文件</w:t>
      </w:r>
      <w:bookmarkEnd w:id="28"/>
    </w:p>
    <w:p>
      <w:pPr>
        <w:pStyle w:val="4"/>
        <w:spacing w:line="240" w:lineRule="auto"/>
        <w:ind w:firstLine="137"/>
        <w:rPr>
          <w:rFonts w:ascii="Times New Roman" w:hAnsi="Times New Roman"/>
          <w:color w:val="000000"/>
        </w:rPr>
      </w:pPr>
      <w:bookmarkStart w:id="29" w:name="_Toc22290"/>
      <w:r>
        <w:rPr>
          <w:rFonts w:ascii="Times New Roman" w:hAnsi="Times New Roman"/>
          <w:color w:val="000000"/>
        </w:rPr>
        <w:t>2.1 招标文件的组成</w:t>
      </w:r>
      <w:bookmarkEnd w:id="29"/>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w:t>
      </w:r>
      <w:r>
        <w:rPr>
          <w:rFonts w:hint="eastAsia" w:ascii="Times New Roman" w:hAnsi="Times New Roman"/>
          <w:color w:val="000000"/>
          <w:lang w:val="en-US" w:eastAsia="zh-CN"/>
        </w:rPr>
        <w:t>定</w:t>
      </w:r>
      <w:r>
        <w:rPr>
          <w:rFonts w:ascii="Times New Roman" w:hAnsi="Times New Roman"/>
          <w:color w:val="000000"/>
        </w:rPr>
        <w:t>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w:t>
      </w:r>
      <w:r>
        <w:rPr>
          <w:rFonts w:ascii="Times New Roman" w:hAnsi="Times New Roman"/>
        </w:rPr>
        <w:t>供货要求；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8</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w:t>
      </w:r>
      <w:r>
        <w:rPr>
          <w:rFonts w:ascii="Times New Roman" w:hAnsi="Times New Roman"/>
          <w:color w:val="000000"/>
          <w:highlight w:val="yellow"/>
        </w:rPr>
        <w:t>章第2.2款和第2.3款对</w:t>
      </w:r>
      <w:r>
        <w:rPr>
          <w:rFonts w:ascii="Times New Roman" w:hAnsi="Times New Roman"/>
          <w:color w:val="000000"/>
        </w:rPr>
        <w:t>招标文件所作的澄清、修改，构成招标文件的组成部分。</w:t>
      </w:r>
    </w:p>
    <w:p>
      <w:pPr>
        <w:pStyle w:val="4"/>
        <w:spacing w:line="240" w:lineRule="auto"/>
        <w:ind w:firstLine="137"/>
        <w:rPr>
          <w:rFonts w:ascii="Times New Roman" w:hAnsi="Times New Roman"/>
          <w:color w:val="000000"/>
        </w:rPr>
      </w:pPr>
      <w:bookmarkStart w:id="30" w:name="_Toc16668"/>
      <w:r>
        <w:rPr>
          <w:rFonts w:ascii="Times New Roman" w:hAnsi="Times New Roman"/>
          <w:color w:val="000000"/>
        </w:rPr>
        <w:t>2.2 招标文件的澄清</w:t>
      </w:r>
      <w:bookmarkEnd w:id="30"/>
    </w:p>
    <w:p>
      <w:pPr>
        <w:spacing w:line="400" w:lineRule="exact"/>
        <w:ind w:firstLine="420" w:firstLineChars="200"/>
        <w:rPr>
          <w:rFonts w:ascii="Times New Roman" w:hAnsi="Times New Roman"/>
          <w:color w:val="000000"/>
        </w:rPr>
      </w:pPr>
      <w:bookmarkStart w:id="31" w:name="_Toc352691479"/>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w:t>
      </w:r>
      <w:bookmarkStart w:id="32" w:name="_Toc352691478"/>
      <w:bookmarkStart w:id="33" w:name="_Toc369531520"/>
      <w:bookmarkStart w:id="34" w:name="_Toc27980"/>
      <w:r>
        <w:rPr>
          <w:rFonts w:ascii="Times New Roman" w:hAnsi="Times New Roman"/>
          <w:color w:val="000000"/>
        </w:rPr>
        <w:t>回复投标人在</w:t>
      </w:r>
      <w:bookmarkEnd w:id="32"/>
      <w:bookmarkEnd w:id="33"/>
      <w:bookmarkEnd w:id="34"/>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35" w:name="_Toc20574"/>
      <w:r>
        <w:rPr>
          <w:rFonts w:ascii="Times New Roman" w:hAnsi="Times New Roman"/>
          <w:color w:val="000000"/>
        </w:rPr>
        <w:t>2.3 招标文件的修</w:t>
      </w:r>
      <w:bookmarkStart w:id="36" w:name="_Toc16514"/>
      <w:bookmarkStart w:id="37" w:name="_Toc369531521"/>
      <w:r>
        <w:rPr>
          <w:rFonts w:ascii="Times New Roman" w:hAnsi="Times New Roman"/>
          <w:color w:val="000000"/>
        </w:rPr>
        <w:t>改</w:t>
      </w:r>
      <w:bookmarkEnd w:id="35"/>
    </w:p>
    <w:bookmarkEnd w:id="31"/>
    <w:bookmarkEnd w:id="36"/>
    <w:bookmarkEnd w:id="37"/>
    <w:p>
      <w:pPr>
        <w:spacing w:line="400" w:lineRule="exact"/>
        <w:ind w:firstLine="420" w:firstLineChars="200"/>
        <w:rPr>
          <w:rFonts w:ascii="Times New Roman" w:hAnsi="Times New Roman"/>
          <w:color w:val="000000"/>
        </w:rPr>
      </w:pPr>
      <w:bookmarkStart w:id="38" w:name="_Toc247513963"/>
      <w:bookmarkStart w:id="39" w:name="_Toc16623"/>
      <w:bookmarkStart w:id="40" w:name="_Toc352691484"/>
      <w:bookmarkStart w:id="41" w:name="_Toc300834960"/>
      <w:bookmarkStart w:id="42" w:name="_Toc384308220"/>
      <w:bookmarkStart w:id="43" w:name="_Toc247527564"/>
      <w:bookmarkStart w:id="44" w:name="_Toc361508595"/>
      <w:bookmarkStart w:id="45" w:name="_Toc369531526"/>
      <w:bookmarkStart w:id="46" w:name="_Toc152045540"/>
      <w:bookmarkStart w:id="47" w:name="_Toc152042316"/>
      <w:bookmarkStart w:id="48" w:name="_Toc144974508"/>
      <w:r>
        <w:rPr>
          <w:rFonts w:ascii="Times New Roman" w:hAnsi="Times New Roman"/>
          <w:color w:val="000000"/>
        </w:rPr>
        <w:t>2.3.1招标人以投标人须知前附表规定的形式修改招标文件，并通知所有已</w:t>
      </w:r>
      <w:bookmarkStart w:id="49" w:name="_Toc26878"/>
      <w:bookmarkStart w:id="50" w:name="_Toc369531522"/>
      <w:bookmarkStart w:id="51" w:name="_Toc352691480"/>
      <w:r>
        <w:rPr>
          <w:rFonts w:ascii="Times New Roman" w:hAnsi="Times New Roman"/>
          <w:color w:val="000000"/>
        </w:rPr>
        <w:t>购买招标文件</w:t>
      </w:r>
      <w:bookmarkEnd w:id="49"/>
      <w:bookmarkEnd w:id="50"/>
      <w:bookmarkEnd w:id="51"/>
      <w:r>
        <w:rPr>
          <w:rFonts w:ascii="Times New Roman" w:hAnsi="Times New Roman"/>
          <w:color w:val="000000"/>
        </w:rPr>
        <w:t>的投标人。修改招标文件的时间距本章第4.2.1项规定的投标截止时间不足15日的，并且修改内容可</w:t>
      </w:r>
      <w:bookmarkStart w:id="52" w:name="_Toc144974505"/>
      <w:bookmarkStart w:id="53" w:name="_Toc300834957"/>
      <w:bookmarkStart w:id="54" w:name="_Toc247527561"/>
      <w:bookmarkStart w:id="55" w:name="_Toc352691481"/>
      <w:bookmarkStart w:id="56" w:name="_Toc369531523"/>
      <w:bookmarkStart w:id="57" w:name="_Toc8349"/>
      <w:bookmarkStart w:id="58" w:name="_Toc247513960"/>
      <w:bookmarkStart w:id="59" w:name="_Toc384308217"/>
      <w:bookmarkStart w:id="60" w:name="_Toc361508592"/>
      <w:bookmarkStart w:id="61" w:name="_Toc152042313"/>
      <w:bookmarkStart w:id="62" w:name="_Toc152045537"/>
      <w:r>
        <w:rPr>
          <w:rFonts w:ascii="Times New Roman" w:hAnsi="Times New Roman"/>
          <w:color w:val="000000"/>
        </w:rPr>
        <w:t>能影响投标文</w:t>
      </w:r>
      <w:bookmarkEnd w:id="52"/>
      <w:r>
        <w:rPr>
          <w:rFonts w:ascii="Times New Roman" w:hAnsi="Times New Roman"/>
          <w:color w:val="000000"/>
        </w:rPr>
        <w:t>件编</w:t>
      </w:r>
      <w:bookmarkEnd w:id="53"/>
      <w:bookmarkEnd w:id="54"/>
      <w:bookmarkEnd w:id="55"/>
      <w:bookmarkEnd w:id="56"/>
      <w:bookmarkEnd w:id="57"/>
      <w:bookmarkEnd w:id="58"/>
      <w:bookmarkEnd w:id="59"/>
      <w:bookmarkEnd w:id="60"/>
      <w:bookmarkEnd w:id="61"/>
      <w:bookmarkEnd w:id="62"/>
      <w:r>
        <w:rPr>
          <w:rFonts w:ascii="Times New Roman" w:hAnsi="Times New Roman"/>
          <w:color w:val="000000"/>
        </w:rPr>
        <w:t>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63" w:name="_Toc384308218"/>
      <w:bookmarkStart w:id="64" w:name="_Toc352691482"/>
      <w:bookmarkStart w:id="65" w:name="_Toc144974506"/>
      <w:bookmarkStart w:id="66" w:name="_Toc369531524"/>
      <w:bookmarkStart w:id="67" w:name="_Toc247513961"/>
      <w:bookmarkStart w:id="68" w:name="_Toc361508593"/>
      <w:bookmarkStart w:id="69" w:name="_Toc247527562"/>
      <w:bookmarkStart w:id="70" w:name="_Toc152042314"/>
      <w:bookmarkStart w:id="71" w:name="_Toc152045538"/>
      <w:bookmarkStart w:id="72" w:name="_Toc300834958"/>
      <w:bookmarkStart w:id="73" w:name="_Toc24632"/>
      <w:r>
        <w:rPr>
          <w:rFonts w:ascii="Times New Roman" w:hAnsi="Times New Roman"/>
          <w:color w:val="000000"/>
        </w:rPr>
        <w:t>后，</w:t>
      </w:r>
      <w:bookmarkEnd w:id="63"/>
      <w:bookmarkEnd w:id="64"/>
      <w:bookmarkEnd w:id="65"/>
      <w:bookmarkEnd w:id="66"/>
      <w:bookmarkEnd w:id="67"/>
      <w:bookmarkEnd w:id="68"/>
      <w:bookmarkEnd w:id="69"/>
      <w:bookmarkEnd w:id="70"/>
      <w:bookmarkEnd w:id="71"/>
      <w:bookmarkEnd w:id="72"/>
      <w:bookmarkEnd w:id="73"/>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74" w:name="_Toc1577"/>
      <w:r>
        <w:rPr>
          <w:rFonts w:ascii="Times New Roman" w:hAnsi="Times New Roman"/>
          <w:color w:val="000000"/>
        </w:rPr>
        <w:t>2.</w:t>
      </w:r>
      <w:bookmarkEnd w:id="38"/>
      <w:bookmarkEnd w:id="39"/>
      <w:bookmarkEnd w:id="40"/>
      <w:bookmarkEnd w:id="41"/>
      <w:bookmarkEnd w:id="42"/>
      <w:bookmarkEnd w:id="43"/>
      <w:bookmarkEnd w:id="44"/>
      <w:bookmarkEnd w:id="45"/>
      <w:bookmarkEnd w:id="46"/>
      <w:bookmarkEnd w:id="47"/>
      <w:bookmarkEnd w:id="48"/>
      <w:r>
        <w:rPr>
          <w:rFonts w:ascii="Times New Roman" w:hAnsi="Times New Roman"/>
          <w:color w:val="000000"/>
        </w:rPr>
        <w:t>4 招标文件的异议</w:t>
      </w:r>
      <w:bookmarkEnd w:id="74"/>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投标人或者其他利害关系人对招标文件有异议的，应当在投标截止时间10日前以书面形式提出。招标人将在收到异议之日起3日内作出答复；作出答复前，</w:t>
      </w:r>
      <w:bookmarkStart w:id="709" w:name="_GoBack"/>
      <w:bookmarkEnd w:id="709"/>
      <w:r>
        <w:rPr>
          <w:rFonts w:ascii="Times New Roman" w:hAnsi="Times New Roman"/>
          <w:color w:val="000000"/>
        </w:rPr>
        <w:t>暂停招标投标活动。</w:t>
      </w:r>
    </w:p>
    <w:p>
      <w:pPr>
        <w:pStyle w:val="3"/>
        <w:rPr>
          <w:rFonts w:ascii="Times New Roman" w:hAnsi="Times New Roman"/>
          <w:color w:val="000000"/>
        </w:rPr>
      </w:pPr>
      <w:bookmarkStart w:id="75" w:name="_Toc5888"/>
      <w:r>
        <w:rPr>
          <w:rFonts w:ascii="Times New Roman" w:hAnsi="Times New Roman"/>
          <w:color w:val="000000"/>
        </w:rPr>
        <w:t>3. 投标文件</w:t>
      </w:r>
      <w:bookmarkEnd w:id="75"/>
    </w:p>
    <w:p>
      <w:pPr>
        <w:pStyle w:val="4"/>
        <w:spacing w:line="240" w:lineRule="auto"/>
        <w:ind w:firstLine="137"/>
        <w:rPr>
          <w:rFonts w:ascii="Times New Roman" w:hAnsi="Times New Roman"/>
          <w:color w:val="000000"/>
        </w:rPr>
      </w:pPr>
      <w:bookmarkStart w:id="76" w:name="_Toc30466"/>
      <w:r>
        <w:rPr>
          <w:rFonts w:ascii="Times New Roman" w:hAnsi="Times New Roman"/>
          <w:color w:val="000000"/>
        </w:rPr>
        <w:t>3.1 投标文件的组成</w:t>
      </w:r>
      <w:bookmarkEnd w:id="76"/>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w:t>
      </w:r>
    </w:p>
    <w:p>
      <w:pPr>
        <w:spacing w:line="400" w:lineRule="exact"/>
        <w:ind w:firstLine="420" w:firstLineChars="200"/>
        <w:rPr>
          <w:rFonts w:ascii="Times New Roman" w:hAnsi="Times New Roman"/>
        </w:rPr>
      </w:pPr>
      <w:r>
        <w:rPr>
          <w:rFonts w:ascii="Times New Roman" w:hAnsi="Times New Roman"/>
        </w:rPr>
        <w:t>（2）法定代表人</w:t>
      </w:r>
      <w:r>
        <w:rPr>
          <w:rFonts w:hint="eastAsia" w:ascii="Times New Roman" w:hAnsi="Times New Roman"/>
          <w:lang w:eastAsia="zh-CN"/>
        </w:rPr>
        <w:t>（</w:t>
      </w:r>
      <w:r>
        <w:rPr>
          <w:rFonts w:hint="eastAsia" w:ascii="Times New Roman" w:hAnsi="Times New Roman"/>
          <w:lang w:val="en-US" w:eastAsia="zh-CN"/>
        </w:rPr>
        <w:t>单位负责人</w:t>
      </w:r>
      <w:r>
        <w:rPr>
          <w:rFonts w:hint="eastAsia" w:ascii="Times New Roman" w:hAnsi="Times New Roman"/>
          <w:lang w:eastAsia="zh-CN"/>
        </w:rPr>
        <w:t>）</w:t>
      </w:r>
      <w:r>
        <w:rPr>
          <w:rFonts w:ascii="Times New Roman" w:hAnsi="Times New Roman"/>
        </w:rPr>
        <w:t>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highlight w:val="none"/>
        </w:rPr>
      </w:pPr>
      <w:r>
        <w:rPr>
          <w:rFonts w:ascii="Times New Roman" w:hAnsi="Times New Roman"/>
          <w:highlight w:val="none"/>
        </w:rPr>
        <w:t>（5）商务和技术偏差表；</w:t>
      </w:r>
    </w:p>
    <w:p>
      <w:pPr>
        <w:spacing w:line="400" w:lineRule="exact"/>
        <w:ind w:firstLine="420" w:firstLineChars="200"/>
        <w:rPr>
          <w:rFonts w:ascii="Times New Roman" w:hAnsi="Times New Roman"/>
          <w:highlight w:val="none"/>
        </w:rPr>
      </w:pPr>
      <w:r>
        <w:rPr>
          <w:rFonts w:ascii="Times New Roman" w:hAnsi="Times New Roman"/>
          <w:highlight w:val="none"/>
        </w:rPr>
        <w:t>（6）分项报价表；</w:t>
      </w:r>
    </w:p>
    <w:p>
      <w:pPr>
        <w:spacing w:line="400" w:lineRule="exact"/>
        <w:ind w:firstLine="420" w:firstLineChars="200"/>
        <w:rPr>
          <w:rFonts w:ascii="Times New Roman" w:hAnsi="Times New Roman"/>
          <w:highlight w:val="none"/>
        </w:rPr>
      </w:pPr>
      <w:r>
        <w:rPr>
          <w:rFonts w:ascii="Times New Roman" w:hAnsi="Times New Roman"/>
          <w:highlight w:val="none"/>
        </w:rPr>
        <w:t>（7）资格审查资料；</w:t>
      </w:r>
    </w:p>
    <w:p>
      <w:pPr>
        <w:spacing w:line="400" w:lineRule="exact"/>
        <w:ind w:firstLine="420" w:firstLineChars="200"/>
        <w:rPr>
          <w:rFonts w:ascii="Times New Roman" w:hAnsi="Times New Roman"/>
          <w:highlight w:val="none"/>
        </w:rPr>
      </w:pPr>
      <w:r>
        <w:rPr>
          <w:rFonts w:ascii="Times New Roman" w:hAnsi="Times New Roman"/>
          <w:highlight w:val="none"/>
        </w:rPr>
        <w:t>（8）投标材料质量标准的详细描述；</w:t>
      </w:r>
    </w:p>
    <w:p>
      <w:pPr>
        <w:spacing w:line="400" w:lineRule="exact"/>
        <w:ind w:firstLine="420" w:firstLineChars="200"/>
        <w:rPr>
          <w:rFonts w:ascii="Times New Roman" w:hAnsi="Times New Roman"/>
          <w:highlight w:val="none"/>
        </w:rPr>
      </w:pPr>
      <w:r>
        <w:rPr>
          <w:rFonts w:ascii="Times New Roman" w:hAnsi="Times New Roman"/>
          <w:highlight w:val="none"/>
        </w:rPr>
        <w:t>（9）技术支持资料；</w:t>
      </w:r>
    </w:p>
    <w:p>
      <w:pPr>
        <w:spacing w:line="400" w:lineRule="exact"/>
        <w:ind w:firstLine="420" w:firstLineChars="200"/>
        <w:rPr>
          <w:rFonts w:ascii="Times New Roman" w:hAnsi="Times New Roman"/>
          <w:highlight w:val="none"/>
        </w:rPr>
      </w:pPr>
      <w:r>
        <w:rPr>
          <w:rFonts w:ascii="Times New Roman" w:hAnsi="Times New Roman"/>
          <w:highlight w:val="none"/>
        </w:rPr>
        <w:t>（10）相关服务计划；</w:t>
      </w:r>
    </w:p>
    <w:p>
      <w:pPr>
        <w:spacing w:line="400" w:lineRule="exact"/>
        <w:ind w:firstLine="420" w:firstLineChars="200"/>
        <w:rPr>
          <w:rFonts w:ascii="Times New Roman" w:hAnsi="Times New Roman"/>
        </w:rPr>
      </w:pPr>
      <w:r>
        <w:rPr>
          <w:rFonts w:ascii="Times New Roman" w:hAnsi="Times New Roman"/>
        </w:rPr>
        <w:t>（11）投标人须知前附表规定的其他资料。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77" w:name="_Toc25561"/>
      <w:r>
        <w:rPr>
          <w:rFonts w:ascii="Times New Roman" w:hAnsi="Times New Roman"/>
          <w:color w:val="000000"/>
        </w:rPr>
        <w:t>3.2 投标报价</w:t>
      </w:r>
      <w:bookmarkEnd w:id="77"/>
    </w:p>
    <w:p>
      <w:pPr>
        <w:spacing w:line="400" w:lineRule="exact"/>
        <w:ind w:firstLine="420" w:firstLineChars="200"/>
        <w:rPr>
          <w:rFonts w:ascii="Times New Roman" w:hAnsi="Times New Roman"/>
        </w:rPr>
      </w:pPr>
      <w:r>
        <w:rPr>
          <w:rFonts w:ascii="Times New Roman" w:hAnsi="Times New Roman"/>
        </w:rPr>
        <w:t>3.2.1</w:t>
      </w:r>
      <w:r>
        <w:rPr>
          <w:rFonts w:hint="eastAsia" w:ascii="Times New Roman" w:hAnsi="Times New Roman"/>
        </w:rPr>
        <w:t xml:space="preserve"> </w:t>
      </w:r>
      <w:r>
        <w:rPr>
          <w:rFonts w:ascii="Times New Roman" w:hAnsi="Times New Roman"/>
        </w:rPr>
        <w:t>投标报价应包括国家规定的增值税税金，除投标人须知前附表另有规定外，增值税税金按一般计税方法计算。投标人应按第六章“投标文件格式”的要求在投标函中进行报价并填写分项报价表。</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78" w:name="_Toc152045543"/>
      <w:bookmarkEnd w:id="78"/>
      <w:bookmarkStart w:id="79" w:name="_Toc300834964"/>
      <w:bookmarkEnd w:id="79"/>
      <w:bookmarkStart w:id="80" w:name="_Toc15242"/>
      <w:bookmarkEnd w:id="80"/>
      <w:bookmarkStart w:id="81" w:name="_Toc152042319"/>
      <w:bookmarkEnd w:id="81"/>
      <w:bookmarkStart w:id="82" w:name="_Toc352691487"/>
      <w:bookmarkEnd w:id="82"/>
      <w:bookmarkStart w:id="83" w:name="_Toc384308224"/>
      <w:bookmarkEnd w:id="83"/>
      <w:bookmarkStart w:id="84" w:name="_Toc247513967"/>
      <w:bookmarkEnd w:id="84"/>
      <w:bookmarkStart w:id="85" w:name="_Toc144974511"/>
      <w:bookmarkEnd w:id="85"/>
      <w:bookmarkStart w:id="86" w:name="_Toc247527568"/>
      <w:bookmarkEnd w:id="86"/>
      <w:bookmarkStart w:id="87" w:name="_Toc369531530"/>
      <w:bookmarkEnd w:id="87"/>
      <w:bookmarkStart w:id="88" w:name="_Toc361508599"/>
      <w:bookmarkEnd w:id="88"/>
      <w:r>
        <w:rPr>
          <w:rFonts w:ascii="Times New Roman" w:hAnsi="Times New Roman"/>
          <w:color w:val="000000"/>
        </w:rPr>
        <w:t>投标报价为各分项报价金额之和，投标报价与分项报价的合价不一致的，应以各分项合价累计数为准，修正投标报价；</w:t>
      </w:r>
      <w:r>
        <w:rPr>
          <w:rFonts w:ascii="Times New Roman" w:hAnsi="Times New Roman"/>
        </w:rPr>
        <w:t>如分项</w:t>
      </w:r>
      <w:r>
        <w:rPr>
          <w:rFonts w:ascii="Times New Roman" w:hAnsi="Times New Roman"/>
          <w:color w:val="000000"/>
        </w:rPr>
        <w:t>报价中存在缺漏项，则视为缺漏项价格已包含在其他分项报价之中。</w:t>
      </w:r>
      <w:r>
        <w:rPr>
          <w:rFonts w:ascii="Times New Roman" w:hAnsi="Times New Roman"/>
        </w:rPr>
        <w:t>投标人在投标截止时间前修改投标函中的投标报价总额，应同时修改投标文件“分项报价表”中的相应报价。此修改须符合本章第4.3款的有关要求。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rPr>
        <w:t xml:space="preserve"> </w:t>
      </w:r>
      <w:r>
        <w:rPr>
          <w:rFonts w:ascii="Times New Roman" w:hAnsi="Times New Roman"/>
        </w:rPr>
        <w:t>招标人设有最高投标限价的，投标人的投标报价不得超过最高投标限价，最高投标限价在投标</w:t>
      </w:r>
      <w:bookmarkStart w:id="89" w:name="_Toc384308225"/>
      <w:bookmarkStart w:id="90" w:name="_Toc352691488"/>
      <w:bookmarkStart w:id="91" w:name="_Toc152045544"/>
      <w:bookmarkStart w:id="92" w:name="_Toc361508600"/>
      <w:bookmarkStart w:id="93" w:name="_Toc300834965"/>
      <w:bookmarkStart w:id="94" w:name="_Toc369531531"/>
      <w:bookmarkStart w:id="95" w:name="_Toc247513968"/>
      <w:bookmarkStart w:id="96" w:name="_Toc10429"/>
      <w:bookmarkStart w:id="97" w:name="_Toc247527569"/>
      <w:bookmarkStart w:id="98" w:name="_Toc144974512"/>
      <w:bookmarkStart w:id="99" w:name="_Toc152042320"/>
      <w:r>
        <w:rPr>
          <w:rFonts w:ascii="Times New Roman" w:hAnsi="Times New Roman"/>
        </w:rPr>
        <w:t>人须知前附表中载明。</w:t>
      </w:r>
      <w:bookmarkEnd w:id="89"/>
      <w:bookmarkEnd w:id="90"/>
      <w:bookmarkEnd w:id="91"/>
      <w:bookmarkEnd w:id="92"/>
      <w:bookmarkEnd w:id="93"/>
      <w:bookmarkEnd w:id="94"/>
      <w:bookmarkEnd w:id="95"/>
      <w:bookmarkEnd w:id="96"/>
      <w:bookmarkEnd w:id="97"/>
      <w:bookmarkEnd w:id="98"/>
      <w:bookmarkEnd w:id="99"/>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100" w:name="_Toc26989"/>
      <w:r>
        <w:rPr>
          <w:rFonts w:ascii="Times New Roman" w:hAnsi="Times New Roman"/>
          <w:color w:val="000000"/>
        </w:rPr>
        <w:t>3.3 投标有效期</w:t>
      </w:r>
      <w:bookmarkEnd w:id="100"/>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101" w:name="_Toc23639"/>
      <w:r>
        <w:rPr>
          <w:rFonts w:ascii="Times New Roman" w:hAnsi="Times New Roman"/>
          <w:color w:val="000000"/>
        </w:rPr>
        <w:t>3.4 投标保证金</w:t>
      </w:r>
      <w:bookmarkEnd w:id="101"/>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102" w:name="_Toc369531532"/>
      <w:bookmarkStart w:id="103" w:name="_Toc300834966"/>
      <w:bookmarkStart w:id="104" w:name="_Toc361508601"/>
      <w:bookmarkStart w:id="105" w:name="_Toc247513969"/>
      <w:bookmarkStart w:id="106" w:name="_Toc247527570"/>
      <w:bookmarkStart w:id="107" w:name="_Toc352691489"/>
      <w:bookmarkStart w:id="108" w:name="_Toc4592"/>
      <w:bookmarkStart w:id="109" w:name="_Toc144974513"/>
      <w:bookmarkStart w:id="110" w:name="_Toc152045545"/>
      <w:bookmarkStart w:id="111" w:name="_Toc384308226"/>
      <w:bookmarkStart w:id="112" w:name="_Toc152042321"/>
      <w:r>
        <w:rPr>
          <w:rFonts w:ascii="Times New Roman" w:hAnsi="Times New Roman"/>
          <w:color w:val="000000"/>
        </w:rPr>
        <w:t>、形式和第六章“投标文</w:t>
      </w:r>
      <w:bookmarkEnd w:id="102"/>
      <w:bookmarkEnd w:id="103"/>
      <w:bookmarkEnd w:id="104"/>
      <w:bookmarkEnd w:id="105"/>
      <w:bookmarkEnd w:id="106"/>
      <w:bookmarkEnd w:id="107"/>
      <w:bookmarkEnd w:id="108"/>
      <w:bookmarkEnd w:id="109"/>
      <w:bookmarkEnd w:id="110"/>
      <w:bookmarkEnd w:id="111"/>
      <w:bookmarkEnd w:id="112"/>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13" w:name="_Toc361508602"/>
      <w:bookmarkStart w:id="114" w:name="_Toc352691490"/>
      <w:bookmarkStart w:id="115" w:name="_Toc384308227"/>
      <w:bookmarkStart w:id="116" w:name="_Toc369531533"/>
      <w:bookmarkStart w:id="117" w:name="_Toc29025"/>
      <w:r>
        <w:rPr>
          <w:rFonts w:ascii="Times New Roman" w:hAnsi="Times New Roman"/>
          <w:color w:val="000000"/>
        </w:rPr>
        <w:t>要求提交投标保证金的，</w:t>
      </w:r>
      <w:bookmarkEnd w:id="113"/>
      <w:bookmarkEnd w:id="114"/>
      <w:bookmarkEnd w:id="115"/>
      <w:bookmarkEnd w:id="116"/>
      <w:bookmarkEnd w:id="117"/>
      <w:commentRangeStart w:id="3"/>
      <w:r>
        <w:rPr>
          <w:rFonts w:hint="eastAsia" w:ascii="Times New Roman" w:hAnsi="Times New Roman"/>
          <w:color w:val="auto"/>
          <w:sz w:val="21"/>
          <w:szCs w:val="21"/>
          <w:highlight w:val="none"/>
        </w:rPr>
        <w:t>招标人将予以拒收</w:t>
      </w:r>
      <w:r>
        <w:rPr>
          <w:rFonts w:hint="eastAsia" w:ascii="Times New Roman" w:hAnsi="Times New Roman"/>
          <w:color w:val="auto"/>
          <w:sz w:val="21"/>
          <w:szCs w:val="21"/>
          <w:highlight w:val="none"/>
          <w:lang w:val="en-US" w:eastAsia="zh-CN"/>
        </w:rPr>
        <w:t>其投标文件</w:t>
      </w:r>
      <w:commentRangeEnd w:id="3"/>
      <w:r>
        <w:commentReference w:id="3"/>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18" w:name="_Toc369531534"/>
      <w:bookmarkStart w:id="119" w:name="_Toc144974514"/>
      <w:bookmarkStart w:id="120" w:name="_Toc14751"/>
      <w:bookmarkStart w:id="121" w:name="_Toc247513970"/>
      <w:bookmarkStart w:id="122" w:name="_Toc247527571"/>
      <w:bookmarkStart w:id="123" w:name="_Toc352691491"/>
      <w:bookmarkStart w:id="124" w:name="_Toc152042322"/>
      <w:bookmarkStart w:id="125" w:name="_Toc152045546"/>
      <w:bookmarkStart w:id="126" w:name="_Toc300834967"/>
      <w:bookmarkStart w:id="127" w:name="_Toc361508603"/>
      <w:bookmarkStart w:id="128" w:name="_Toc384308228"/>
      <w:r>
        <w:rPr>
          <w:rFonts w:ascii="Times New Roman" w:hAnsi="Times New Roman"/>
          <w:color w:val="000000"/>
        </w:rPr>
        <w:t>签订合同后5日</w:t>
      </w:r>
      <w:bookmarkEnd w:id="118"/>
      <w:bookmarkEnd w:id="119"/>
      <w:bookmarkEnd w:id="120"/>
      <w:bookmarkEnd w:id="121"/>
      <w:bookmarkEnd w:id="122"/>
      <w:bookmarkEnd w:id="123"/>
      <w:bookmarkEnd w:id="124"/>
      <w:bookmarkEnd w:id="125"/>
      <w:bookmarkEnd w:id="126"/>
      <w:bookmarkEnd w:id="127"/>
      <w:bookmarkEnd w:id="128"/>
      <w:r>
        <w:rPr>
          <w:rFonts w:ascii="Times New Roman" w:hAnsi="Times New Roman"/>
          <w:color w:val="000000"/>
        </w:rPr>
        <w:t>内</w:t>
      </w:r>
      <w:bookmarkStart w:id="129" w:name="_Toc352691492"/>
      <w:bookmarkStart w:id="130" w:name="_Toc247527572"/>
      <w:bookmarkStart w:id="131" w:name="_Toc361508604"/>
      <w:bookmarkStart w:id="132" w:name="_Toc144974515"/>
      <w:bookmarkStart w:id="133" w:name="_Toc247513971"/>
      <w:bookmarkStart w:id="134" w:name="_Toc17952"/>
      <w:bookmarkStart w:id="135" w:name="_Toc300834968"/>
      <w:bookmarkStart w:id="136" w:name="_Toc152045547"/>
      <w:bookmarkStart w:id="137" w:name="_Toc152042323"/>
      <w:bookmarkStart w:id="138" w:name="_Toc369531535"/>
      <w:bookmarkStart w:id="139" w:name="_Toc384308229"/>
      <w:r>
        <w:rPr>
          <w:rFonts w:ascii="Times New Roman" w:hAnsi="Times New Roman"/>
          <w:color w:val="000000"/>
        </w:rPr>
        <w:t>，向未中标的投标人和中</w:t>
      </w:r>
      <w:bookmarkEnd w:id="129"/>
      <w:bookmarkEnd w:id="130"/>
      <w:bookmarkEnd w:id="131"/>
      <w:bookmarkEnd w:id="132"/>
      <w:bookmarkEnd w:id="133"/>
      <w:bookmarkEnd w:id="134"/>
      <w:bookmarkEnd w:id="135"/>
      <w:bookmarkEnd w:id="136"/>
      <w:bookmarkEnd w:id="137"/>
      <w:bookmarkEnd w:id="138"/>
      <w:bookmarkEnd w:id="139"/>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40" w:name="_Toc218"/>
      <w:r>
        <w:rPr>
          <w:rFonts w:ascii="Times New Roman" w:hAnsi="Times New Roman"/>
          <w:color w:val="000000"/>
        </w:rPr>
        <w:t>3.5 资格审查资料</w:t>
      </w:r>
      <w:bookmarkEnd w:id="140"/>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rPr>
      </w:pPr>
      <w:r>
        <w:rPr>
          <w:rFonts w:ascii="Times New Roman" w:hAnsi="Times New Roman"/>
        </w:rPr>
        <w:t>3.5.1 “投标人基本情况表”应附投标人及其制造商（适用于代理经销商投标的情形）资格或者资质证书副本和投标材料检验或认证等材料的复印件以及：</w:t>
      </w:r>
    </w:p>
    <w:p>
      <w:pPr>
        <w:spacing w:line="400" w:lineRule="exact"/>
        <w:ind w:firstLine="420" w:firstLineChars="200"/>
        <w:rPr>
          <w:rFonts w:ascii="Times New Roman" w:hAnsi="Times New Roman"/>
          <w:color w:val="000000"/>
        </w:rPr>
      </w:pPr>
      <w:r>
        <w:rPr>
          <w:rFonts w:ascii="Times New Roman" w:hAnsi="Times New Roman"/>
          <w:color w:val="000000"/>
        </w:rPr>
        <w:t>（1）投标人为企业的，应提交营业执照和组织机构代码证的复印件（按照“三证合一”或“五证合一”登记制度进行登记的，可仅提供营业执照复印件）；</w:t>
      </w:r>
    </w:p>
    <w:p>
      <w:pPr>
        <w:spacing w:line="400" w:lineRule="exact"/>
        <w:ind w:firstLine="420" w:firstLineChars="200"/>
        <w:rPr>
          <w:rFonts w:ascii="Times New Roman" w:hAnsi="Times New Roman"/>
          <w:color w:val="000000"/>
        </w:rPr>
      </w:pPr>
      <w:r>
        <w:rPr>
          <w:rFonts w:ascii="Times New Roman" w:hAnsi="Times New Roman"/>
          <w:color w:val="000000"/>
        </w:rPr>
        <w:t>（2）投标人为依法允许经营的事业单位的，应提交事业单位法人证书和组织机构代码证的复印件。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w:t>
      </w:r>
      <w:r>
        <w:rPr>
          <w:rFonts w:hint="eastAsia" w:ascii="Times New Roman" w:hAnsi="Times New Roman"/>
        </w:rPr>
        <w:t>表</w:t>
      </w:r>
      <w:r>
        <w:rPr>
          <w:rFonts w:ascii="Times New Roman" w:hAnsi="Times New Roman"/>
        </w:rPr>
        <w:t>。</w:t>
      </w:r>
    </w:p>
    <w:p>
      <w:pPr>
        <w:spacing w:line="400" w:lineRule="exact"/>
        <w:ind w:firstLine="420" w:firstLineChars="200"/>
        <w:rPr>
          <w:rFonts w:ascii="Times New Roman" w:hAnsi="Times New Roman"/>
        </w:rPr>
      </w:pPr>
      <w:r>
        <w:rPr>
          <w:rFonts w:ascii="Times New Roman" w:hAnsi="Times New Roman"/>
        </w:rPr>
        <w:t>3.5.3 “近年完成的类似项目情况表”应附中标通知书和（或）合同协议书、材料进场验收证书等的复印件，具体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“正在供货和新承接的项目情况表”应附中标通知书和（或）合同协议书复印件。每张表格只填写一个项目，并标明序号。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4</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41" w:name="_Toc17145"/>
      <w:r>
        <w:rPr>
          <w:rFonts w:ascii="Times New Roman" w:hAnsi="Times New Roman"/>
          <w:color w:val="000000"/>
        </w:rPr>
        <w:t>3.6 备选投标方案</w:t>
      </w:r>
      <w:bookmarkEnd w:id="141"/>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highlight w:val="none"/>
        </w:rPr>
      </w:pPr>
      <w:r>
        <w:rPr>
          <w:rFonts w:ascii="Times New Roman" w:hAnsi="Times New Roman"/>
          <w:color w:val="000000"/>
          <w:highlight w:val="none"/>
        </w:rPr>
        <w:t>3.6.3 投标人提供两个或两个以上投标报价，或者在投标文件中提供一个报价，但同时提供两个或两个以上</w:t>
      </w:r>
      <w:r>
        <w:rPr>
          <w:rFonts w:ascii="Times New Roman" w:hAnsi="Times New Roman"/>
          <w:highlight w:val="none"/>
        </w:rPr>
        <w:t>供</w:t>
      </w:r>
      <w:bookmarkStart w:id="142" w:name="_Toc144974518"/>
      <w:bookmarkStart w:id="143" w:name="_Toc29902"/>
      <w:bookmarkStart w:id="144" w:name="_Toc352691495"/>
      <w:bookmarkStart w:id="145" w:name="_Toc361508607"/>
      <w:bookmarkStart w:id="146" w:name="_Toc384308232"/>
      <w:bookmarkStart w:id="147" w:name="_Toc152045550"/>
      <w:bookmarkStart w:id="148" w:name="_Toc247527575"/>
      <w:bookmarkStart w:id="149" w:name="_Toc369531538"/>
      <w:bookmarkStart w:id="150" w:name="_Toc300834971"/>
      <w:bookmarkStart w:id="151" w:name="_Toc247513974"/>
      <w:bookmarkStart w:id="152" w:name="_Toc152042326"/>
      <w:r>
        <w:rPr>
          <w:rFonts w:ascii="Times New Roman" w:hAnsi="Times New Roman"/>
          <w:highlight w:val="none"/>
        </w:rPr>
        <w:t>货方案的</w:t>
      </w:r>
      <w:bookmarkEnd w:id="142"/>
      <w:bookmarkEnd w:id="143"/>
      <w:bookmarkEnd w:id="144"/>
      <w:bookmarkEnd w:id="145"/>
      <w:bookmarkEnd w:id="146"/>
      <w:bookmarkEnd w:id="147"/>
      <w:bookmarkEnd w:id="148"/>
      <w:bookmarkEnd w:id="149"/>
      <w:bookmarkEnd w:id="150"/>
      <w:bookmarkEnd w:id="151"/>
      <w:bookmarkEnd w:id="152"/>
      <w:r>
        <w:rPr>
          <w:rFonts w:ascii="Times New Roman" w:hAnsi="Times New Roman"/>
          <w:highlight w:val="none"/>
        </w:rPr>
        <w:t>，</w:t>
      </w:r>
      <w:r>
        <w:rPr>
          <w:rFonts w:ascii="Times New Roman" w:hAnsi="Times New Roman"/>
          <w:color w:val="000000"/>
          <w:highlight w:val="none"/>
        </w:rPr>
        <w:t>视为提供备选方案。</w:t>
      </w:r>
    </w:p>
    <w:p>
      <w:pPr>
        <w:pStyle w:val="4"/>
        <w:spacing w:line="240" w:lineRule="auto"/>
        <w:ind w:firstLine="137"/>
        <w:rPr>
          <w:rFonts w:ascii="Times New Roman" w:hAnsi="Times New Roman"/>
          <w:color w:val="000000"/>
        </w:rPr>
      </w:pPr>
      <w:bookmarkStart w:id="153" w:name="_Toc14168"/>
      <w:r>
        <w:rPr>
          <w:rFonts w:ascii="Times New Roman" w:hAnsi="Times New Roman"/>
          <w:color w:val="000000"/>
        </w:rPr>
        <w:t>3.7 投标文件的编制</w:t>
      </w:r>
      <w:bookmarkEnd w:id="153"/>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投标文件应当对招标文件有关供货期、投标有效期、供货要求、招标范围等实质性内容作出响应。投标文件在满足招标文件实质性要求的基础上，可以提出比招标文件要求更有利于招标人的承诺。</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3.7.3投标文件全部采用电子文档，除投标人须知前附表另有规定外，投标文件所附证书证件均为原件扫描件，并</w:t>
      </w:r>
      <w:r>
        <w:rPr>
          <w:rFonts w:ascii="Times New Roman" w:hAnsi="Times New Roman"/>
          <w:szCs w:val="21"/>
          <w:highlight w:val="yellow"/>
        </w:rPr>
        <w:t>采用单位和个人数字证书，按招标文件要求在相应位置加盖电子印章</w:t>
      </w:r>
      <w:r>
        <w:rPr>
          <w:rFonts w:ascii="Times New Roman" w:hAnsi="Times New Roman"/>
          <w:color w:val="000000"/>
          <w:highlight w:val="yellow"/>
        </w:rPr>
        <w:t>。由投标人的</w:t>
      </w:r>
      <w:r>
        <w:rPr>
          <w:rFonts w:ascii="Times New Roman" w:hAnsi="Times New Roman"/>
          <w:color w:val="FF0000"/>
          <w:highlight w:val="yellow"/>
        </w:rPr>
        <w:t>法定代表人（单位负责人）</w:t>
      </w:r>
      <w:r>
        <w:rPr>
          <w:rFonts w:ascii="Times New Roman" w:hAnsi="Times New Roman"/>
          <w:color w:val="000000"/>
          <w:highlight w:val="yellow"/>
        </w:rPr>
        <w:t>签字或加盖电子印章的，应附法定代表人（单位负责人）身份证明，由代理人签字或加盖电子印章的，应附由法定代表人（单位负责人）签署的授权委托书。签字或盖章的具体要求见投标人须知前附表。</w:t>
      </w:r>
    </w:p>
    <w:p>
      <w:pPr>
        <w:pStyle w:val="3"/>
        <w:rPr>
          <w:rFonts w:ascii="Times New Roman" w:hAnsi="Times New Roman"/>
          <w:color w:val="000000"/>
        </w:rPr>
      </w:pPr>
      <w:bookmarkStart w:id="154" w:name="_Toc3320"/>
      <w:r>
        <w:rPr>
          <w:rFonts w:ascii="Times New Roman" w:hAnsi="Times New Roman"/>
          <w:color w:val="000000"/>
        </w:rPr>
        <w:t>4. 投标</w:t>
      </w:r>
      <w:bookmarkEnd w:id="154"/>
    </w:p>
    <w:p>
      <w:pPr>
        <w:pStyle w:val="4"/>
        <w:spacing w:line="240" w:lineRule="auto"/>
        <w:ind w:firstLine="137"/>
        <w:rPr>
          <w:rFonts w:ascii="Times New Roman" w:hAnsi="Times New Roman"/>
          <w:color w:val="000000"/>
        </w:rPr>
      </w:pPr>
      <w:bookmarkStart w:id="155" w:name="_Toc2835"/>
      <w:r>
        <w:rPr>
          <w:rFonts w:ascii="Times New Roman" w:hAnsi="Times New Roman"/>
          <w:color w:val="000000"/>
        </w:rPr>
        <w:t>4.1 投标文件的密封和标记</w:t>
      </w:r>
      <w:bookmarkEnd w:id="155"/>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56" w:name="_Toc3648"/>
      <w:r>
        <w:rPr>
          <w:rFonts w:ascii="Times New Roman" w:hAnsi="Times New Roman"/>
          <w:color w:val="000000"/>
        </w:rPr>
        <w:t>4.2 投标文件的递交</w:t>
      </w:r>
      <w:bookmarkEnd w:id="156"/>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spacing w:line="400" w:lineRule="exact"/>
        <w:ind w:firstLine="420" w:firstLineChars="200"/>
        <w:rPr>
          <w:rFonts w:ascii="Times New Roman" w:hAnsi="Times New Roman"/>
          <w:color w:val="000000"/>
        </w:rPr>
      </w:pPr>
    </w:p>
    <w:p>
      <w:pPr>
        <w:pStyle w:val="4"/>
        <w:spacing w:line="240" w:lineRule="auto"/>
        <w:ind w:firstLine="137"/>
        <w:rPr>
          <w:rFonts w:ascii="Times New Roman" w:hAnsi="Times New Roman"/>
          <w:color w:val="000000"/>
        </w:rPr>
      </w:pPr>
      <w:bookmarkStart w:id="157" w:name="_Toc23795"/>
      <w:r>
        <w:rPr>
          <w:rFonts w:ascii="Times New Roman" w:hAnsi="Times New Roman"/>
          <w:color w:val="000000"/>
        </w:rPr>
        <w:t>4.3 投标文件的修改与撤回</w:t>
      </w:r>
      <w:bookmarkEnd w:id="157"/>
    </w:p>
    <w:p>
      <w:pPr>
        <w:spacing w:line="400" w:lineRule="exact"/>
        <w:ind w:firstLine="420" w:firstLineChars="200"/>
        <w:rPr>
          <w:rFonts w:hint="eastAsia" w:ascii="Times New Roman" w:hAnsi="Times New Roman" w:eastAsia="宋体"/>
          <w:color w:val="000000"/>
          <w:lang w:eastAsia="zh-CN"/>
        </w:rPr>
      </w:pPr>
      <w:r>
        <w:rPr>
          <w:rFonts w:ascii="Times New Roman" w:hAnsi="Times New Roman"/>
          <w:color w:val="000000"/>
        </w:rPr>
        <w:t>4.3.1 在本章第4.2.1项规定的投标截止时间前，投标人可以修改或撤回已递交的投标文件</w:t>
      </w:r>
      <w:r>
        <w:rPr>
          <w:rFonts w:hint="eastAsia" w:ascii="Times New Roman" w:hAnsi="Times New Roman"/>
          <w:color w:val="000000"/>
          <w:lang w:eastAsia="zh-CN"/>
        </w:rPr>
        <w:t>。</w:t>
      </w:r>
    </w:p>
    <w:p>
      <w:pPr>
        <w:pStyle w:val="3"/>
        <w:rPr>
          <w:rFonts w:ascii="Times New Roman" w:hAnsi="Times New Roman"/>
          <w:color w:val="000000"/>
        </w:rPr>
      </w:pPr>
      <w:bookmarkStart w:id="158" w:name="_Toc13848"/>
      <w:r>
        <w:rPr>
          <w:rFonts w:ascii="Times New Roman" w:hAnsi="Times New Roman"/>
          <w:color w:val="000000"/>
        </w:rPr>
        <w:t>5. 开标</w:t>
      </w:r>
      <w:bookmarkEnd w:id="158"/>
    </w:p>
    <w:p>
      <w:pPr>
        <w:pStyle w:val="4"/>
        <w:spacing w:line="240" w:lineRule="auto"/>
        <w:ind w:firstLine="137"/>
        <w:rPr>
          <w:rFonts w:ascii="Times New Roman" w:hAnsi="Times New Roman"/>
          <w:color w:val="000000"/>
        </w:rPr>
      </w:pPr>
      <w:bookmarkStart w:id="159" w:name="_Toc12571"/>
      <w:r>
        <w:rPr>
          <w:rFonts w:ascii="Times New Roman" w:hAnsi="Times New Roman"/>
          <w:color w:val="000000"/>
        </w:rPr>
        <w:t>5.1 开标时间和地点</w:t>
      </w:r>
      <w:bookmarkEnd w:id="159"/>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招标人在本章第4.2.1项规定的投标截止时间（开标时间）,通过电子招标投标交易平台公开开标，所有投标人的法定代表人（单位负责人）或其委托代理人应当准时参加。</w:t>
      </w:r>
    </w:p>
    <w:p>
      <w:pPr>
        <w:pStyle w:val="4"/>
        <w:spacing w:line="240" w:lineRule="auto"/>
        <w:ind w:firstLine="137"/>
        <w:rPr>
          <w:rFonts w:ascii="Times New Roman" w:hAnsi="Times New Roman"/>
          <w:color w:val="000000"/>
        </w:rPr>
      </w:pPr>
      <w:bookmarkStart w:id="160" w:name="_Toc27182"/>
      <w:r>
        <w:rPr>
          <w:rFonts w:ascii="Times New Roman" w:hAnsi="Times New Roman"/>
          <w:color w:val="000000"/>
        </w:rPr>
        <w:t>5.2 开标程序</w:t>
      </w:r>
      <w:bookmarkEnd w:id="160"/>
    </w:p>
    <w:p>
      <w:pPr>
        <w:spacing w:line="400" w:lineRule="exact"/>
        <w:ind w:firstLine="420" w:firstLineChars="200"/>
        <w:rPr>
          <w:rFonts w:ascii="Times New Roman" w:hAnsi="Times New Roman"/>
          <w:color w:val="000000"/>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r>
        <w:rPr>
          <w:rFonts w:ascii="Times New Roman" w:hAnsi="Times New Roman"/>
          <w:color w:val="000000"/>
        </w:rPr>
        <w:t>。</w:t>
      </w:r>
    </w:p>
    <w:p>
      <w:pPr>
        <w:pStyle w:val="4"/>
        <w:spacing w:line="240" w:lineRule="auto"/>
        <w:ind w:firstLine="137"/>
        <w:rPr>
          <w:rFonts w:ascii="Times New Roman" w:hAnsi="Times New Roman"/>
          <w:color w:val="000000"/>
        </w:rPr>
      </w:pPr>
      <w:bookmarkStart w:id="161" w:name="_Toc18507"/>
      <w:r>
        <w:rPr>
          <w:rFonts w:ascii="Times New Roman" w:hAnsi="Times New Roman"/>
          <w:color w:val="000000"/>
        </w:rPr>
        <w:t>5.3 开标异议</w:t>
      </w:r>
      <w:bookmarkEnd w:id="161"/>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62" w:name="_Toc15077"/>
      <w:r>
        <w:rPr>
          <w:rFonts w:ascii="Times New Roman" w:hAnsi="Times New Roman"/>
          <w:color w:val="000000"/>
        </w:rPr>
        <w:t>6. 评标</w:t>
      </w:r>
      <w:bookmarkEnd w:id="162"/>
    </w:p>
    <w:p>
      <w:pPr>
        <w:pStyle w:val="4"/>
        <w:spacing w:line="240" w:lineRule="auto"/>
        <w:ind w:firstLine="137"/>
        <w:rPr>
          <w:rFonts w:ascii="Times New Roman" w:hAnsi="Times New Roman"/>
          <w:color w:val="000000"/>
        </w:rPr>
      </w:pPr>
      <w:bookmarkStart w:id="163" w:name="_Toc376"/>
      <w:r>
        <w:rPr>
          <w:rFonts w:ascii="Times New Roman" w:hAnsi="Times New Roman"/>
          <w:color w:val="000000"/>
        </w:rPr>
        <w:t>6.1 评标委员会</w:t>
      </w:r>
      <w:bookmarkEnd w:id="163"/>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64" w:name="_Toc369531543"/>
      <w:bookmarkStart w:id="165" w:name="_Toc144974523"/>
      <w:bookmarkStart w:id="166" w:name="_Toc361508612"/>
      <w:bookmarkStart w:id="167" w:name="_Toc152045555"/>
      <w:bookmarkStart w:id="168" w:name="_Toc152042331"/>
      <w:bookmarkStart w:id="169" w:name="_Toc352691499"/>
      <w:bookmarkStart w:id="170" w:name="_Toc300834976"/>
      <w:bookmarkStart w:id="171" w:name="_Toc6230"/>
      <w:bookmarkStart w:id="172" w:name="_Toc247513979"/>
      <w:bookmarkStart w:id="173" w:name="_Toc247527580"/>
      <w:bookmarkStart w:id="174" w:name="_Toc384308237"/>
      <w:r>
        <w:rPr>
          <w:rFonts w:ascii="Times New Roman" w:hAnsi="Times New Roman"/>
          <w:color w:val="000000"/>
        </w:rPr>
        <w:t>标以及其他</w:t>
      </w:r>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color w:val="000000"/>
        </w:rPr>
        <w:t>与</w:t>
      </w:r>
      <w:bookmarkStart w:id="175" w:name="_Toc352691500"/>
      <w:bookmarkStart w:id="176" w:name="_Toc152042332"/>
      <w:bookmarkStart w:id="177" w:name="_Toc361508613"/>
      <w:bookmarkStart w:id="178" w:name="_Toc144974524"/>
      <w:bookmarkStart w:id="179" w:name="_Toc17703"/>
      <w:bookmarkStart w:id="180" w:name="_Toc384308238"/>
      <w:bookmarkStart w:id="181" w:name="_Toc152045556"/>
      <w:bookmarkStart w:id="182" w:name="_Toc300834977"/>
      <w:bookmarkStart w:id="183" w:name="_Toc369531544"/>
      <w:bookmarkStart w:id="184" w:name="_Toc247527581"/>
      <w:bookmarkStart w:id="185" w:name="_Toc247513980"/>
      <w:r>
        <w:rPr>
          <w:rFonts w:ascii="Times New Roman" w:hAnsi="Times New Roman"/>
          <w:color w:val="000000"/>
        </w:rPr>
        <w:t>招标投标有关活动中从事违法行</w:t>
      </w:r>
      <w:bookmarkEnd w:id="175"/>
      <w:bookmarkEnd w:id="176"/>
      <w:bookmarkEnd w:id="177"/>
      <w:bookmarkEnd w:id="178"/>
      <w:bookmarkEnd w:id="179"/>
      <w:bookmarkEnd w:id="180"/>
      <w:bookmarkEnd w:id="181"/>
      <w:bookmarkEnd w:id="182"/>
      <w:bookmarkEnd w:id="183"/>
      <w:bookmarkEnd w:id="184"/>
      <w:bookmarkEnd w:id="185"/>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commentRangeStart w:id="4"/>
      <w:bookmarkStart w:id="186" w:name="_Toc17163"/>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commentRangeEnd w:id="4"/>
      <w:r>
        <w:commentReference w:id="4"/>
      </w:r>
    </w:p>
    <w:p>
      <w:pPr>
        <w:pStyle w:val="4"/>
        <w:spacing w:line="240" w:lineRule="auto"/>
        <w:ind w:firstLine="137"/>
        <w:rPr>
          <w:rFonts w:ascii="Times New Roman" w:hAnsi="Times New Roman"/>
          <w:color w:val="000000"/>
        </w:rPr>
      </w:pPr>
      <w:r>
        <w:rPr>
          <w:rFonts w:ascii="Times New Roman" w:hAnsi="Times New Roman"/>
          <w:color w:val="000000"/>
        </w:rPr>
        <w:t>6.2 评标原则</w:t>
      </w:r>
      <w:bookmarkEnd w:id="186"/>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87" w:name="_Toc352691501"/>
      <w:bookmarkStart w:id="188" w:name="_Toc361508614"/>
      <w:bookmarkStart w:id="189" w:name="_Toc247513981"/>
      <w:bookmarkStart w:id="190" w:name="_Toc18949"/>
      <w:bookmarkStart w:id="191" w:name="_Toc247527582"/>
      <w:bookmarkStart w:id="192" w:name="_Toc300834978"/>
      <w:bookmarkStart w:id="193" w:name="_Toc384308239"/>
      <w:bookmarkStart w:id="194" w:name="_Toc152042333"/>
      <w:bookmarkStart w:id="195" w:name="_Toc152045557"/>
      <w:bookmarkStart w:id="196" w:name="_Toc144974525"/>
      <w:bookmarkStart w:id="197" w:name="_Toc369531545"/>
      <w:r>
        <w:rPr>
          <w:rFonts w:ascii="Times New Roman" w:hAnsi="Times New Roman"/>
          <w:color w:val="000000"/>
        </w:rPr>
        <w:t>则。</w:t>
      </w:r>
    </w:p>
    <w:p>
      <w:pPr>
        <w:pStyle w:val="4"/>
        <w:spacing w:line="240" w:lineRule="auto"/>
        <w:ind w:firstLine="137"/>
        <w:rPr>
          <w:rFonts w:ascii="Times New Roman" w:hAnsi="Times New Roman"/>
          <w:color w:val="000000"/>
        </w:rPr>
      </w:pPr>
      <w:bookmarkStart w:id="198" w:name="_Toc11551"/>
      <w:r>
        <w:rPr>
          <w:rFonts w:ascii="Times New Roman" w:hAnsi="Times New Roman"/>
          <w:color w:val="000000"/>
        </w:rPr>
        <w:t>6.3 评标</w:t>
      </w:r>
      <w:bookmarkEnd w:id="198"/>
    </w:p>
    <w:p>
      <w:pPr>
        <w:spacing w:line="400" w:lineRule="exact"/>
        <w:ind w:firstLine="420" w:firstLineChars="200"/>
        <w:rPr>
          <w:rFonts w:ascii="Times New Roman" w:hAnsi="Times New Roman"/>
          <w:color w:val="000000"/>
        </w:rPr>
      </w:pPr>
      <w:r>
        <w:rPr>
          <w:rFonts w:ascii="Times New Roman" w:hAnsi="Times New Roman"/>
          <w:color w:val="000000"/>
        </w:rPr>
        <w:t>6</w:t>
      </w:r>
      <w:bookmarkEnd w:id="187"/>
      <w:bookmarkEnd w:id="188"/>
      <w:bookmarkEnd w:id="189"/>
      <w:bookmarkEnd w:id="190"/>
      <w:bookmarkEnd w:id="191"/>
      <w:bookmarkEnd w:id="192"/>
      <w:bookmarkEnd w:id="193"/>
      <w:bookmarkEnd w:id="194"/>
      <w:bookmarkEnd w:id="195"/>
      <w:bookmarkEnd w:id="196"/>
      <w:bookmarkEnd w:id="197"/>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99" w:name="_Toc12259"/>
      <w:bookmarkStart w:id="200" w:name="_Toc352691502"/>
      <w:bookmarkStart w:id="201" w:name="_Toc384308240"/>
      <w:bookmarkStart w:id="202" w:name="_Toc144974526"/>
      <w:bookmarkStart w:id="203" w:name="_Toc247513982"/>
      <w:bookmarkStart w:id="204" w:name="_Toc152042334"/>
      <w:bookmarkStart w:id="205" w:name="_Toc152045558"/>
      <w:bookmarkStart w:id="206" w:name="_Toc369531546"/>
      <w:bookmarkStart w:id="207" w:name="_Toc300834979"/>
      <w:bookmarkStart w:id="208" w:name="_Toc361508615"/>
      <w:bookmarkStart w:id="209" w:name="_Toc247527583"/>
      <w:r>
        <w:rPr>
          <w:rFonts w:ascii="Times New Roman" w:hAnsi="Times New Roman"/>
          <w:color w:val="000000"/>
        </w:rPr>
        <w:t>候选人的人数见投标人须知前附</w:t>
      </w:r>
      <w:bookmarkEnd w:id="199"/>
      <w:bookmarkEnd w:id="200"/>
      <w:bookmarkEnd w:id="201"/>
      <w:bookmarkEnd w:id="202"/>
      <w:bookmarkEnd w:id="203"/>
      <w:bookmarkEnd w:id="204"/>
      <w:bookmarkEnd w:id="205"/>
      <w:bookmarkEnd w:id="206"/>
      <w:bookmarkEnd w:id="207"/>
      <w:bookmarkEnd w:id="208"/>
      <w:bookmarkEnd w:id="209"/>
      <w:r>
        <w:rPr>
          <w:rFonts w:ascii="Times New Roman" w:hAnsi="Times New Roman"/>
          <w:color w:val="000000"/>
        </w:rPr>
        <w:t>表。</w:t>
      </w:r>
    </w:p>
    <w:p>
      <w:pPr>
        <w:pStyle w:val="3"/>
        <w:rPr>
          <w:rFonts w:hint="eastAsia" w:ascii="Times New Roman" w:hAnsi="Times New Roman"/>
          <w:color w:val="000000"/>
          <w:lang w:val="en-US" w:eastAsia="zh-CN"/>
        </w:rPr>
      </w:pPr>
      <w:bookmarkStart w:id="210" w:name="_Toc19891"/>
      <w:bookmarkStart w:id="211" w:name="_Toc22124"/>
      <w:bookmarkStart w:id="212" w:name="_Toc25441"/>
      <w:r>
        <w:rPr>
          <w:rFonts w:hint="eastAsia" w:ascii="Times New Roman" w:hAnsi="Times New Roman"/>
          <w:color w:val="000000"/>
          <w:lang w:val="en-US" w:eastAsia="zh-CN"/>
        </w:rPr>
        <w:t>7.定标</w:t>
      </w:r>
      <w:bookmarkEnd w:id="210"/>
      <w:bookmarkEnd w:id="211"/>
      <w:bookmarkEnd w:id="212"/>
    </w:p>
    <w:p>
      <w:pPr>
        <w:pStyle w:val="4"/>
        <w:spacing w:line="240" w:lineRule="auto"/>
        <w:ind w:firstLine="137"/>
        <w:rPr>
          <w:rFonts w:hint="eastAsia" w:ascii="Times New Roman" w:hAnsi="Times New Roman"/>
          <w:color w:val="000000"/>
          <w:lang w:val="en-US" w:eastAsia="zh-CN"/>
        </w:rPr>
      </w:pPr>
      <w:bookmarkStart w:id="213" w:name="_Toc17665"/>
      <w:bookmarkStart w:id="214" w:name="_Toc17467"/>
      <w:bookmarkStart w:id="215" w:name="_Toc2069"/>
      <w:r>
        <w:rPr>
          <w:rFonts w:hint="eastAsia" w:ascii="Times New Roman" w:hAnsi="Times New Roman"/>
          <w:color w:val="000000"/>
          <w:lang w:val="en-US" w:eastAsia="zh-CN"/>
        </w:rPr>
        <w:t>7.1 定标委员会</w:t>
      </w:r>
      <w:bookmarkEnd w:id="213"/>
      <w:bookmarkEnd w:id="214"/>
      <w:bookmarkEnd w:id="21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hint="eastAsia" w:ascii="Times New Roman" w:hAnsi="Times New Roman"/>
          <w:color w:val="000000"/>
          <w:lang w:val="en-US" w:eastAsia="zh-CN"/>
        </w:rPr>
      </w:pPr>
      <w:bookmarkStart w:id="216" w:name="_Toc20727"/>
      <w:bookmarkStart w:id="217" w:name="_Toc32224"/>
      <w:bookmarkStart w:id="218" w:name="_Toc18013"/>
      <w:r>
        <w:rPr>
          <w:rFonts w:hint="eastAsia" w:ascii="Times New Roman" w:hAnsi="Times New Roman"/>
          <w:color w:val="000000"/>
          <w:lang w:val="en-US" w:eastAsia="zh-CN"/>
        </w:rPr>
        <w:t>7.2 定标原则</w:t>
      </w:r>
      <w:bookmarkEnd w:id="216"/>
      <w:bookmarkEnd w:id="217"/>
      <w:bookmarkEnd w:id="218"/>
      <w:r>
        <w:rPr>
          <w:rFonts w:hint="eastAsia" w:ascii="Times New Roman" w:hAnsi="Times New Roman"/>
          <w:color w:val="000000"/>
          <w:lang w:val="en-US" w:eastAsia="zh-CN"/>
        </w:rPr>
        <w:t xml:space="preserve"> </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commentReference w:id="5"/>
      </w:r>
      <w:r>
        <w:rPr>
          <w:rFonts w:hint="eastAsia" w:ascii="宋体" w:hAnsi="宋体" w:eastAsia="宋体" w:cs="宋体"/>
          <w:sz w:val="21"/>
          <w:szCs w:val="21"/>
          <w:lang w:val="en-US" w:eastAsia="zh-CN"/>
        </w:rPr>
        <w:t>定标委员会成员应当客观、公正履职，在未公示中标结果前，对定标过程和结果严格保密，对所提出的定标意见承担个人责任。</w:t>
      </w:r>
    </w:p>
    <w:p>
      <w:pPr>
        <w:pStyle w:val="4"/>
        <w:spacing w:line="240" w:lineRule="auto"/>
        <w:ind w:firstLine="137"/>
        <w:rPr>
          <w:rFonts w:hint="eastAsia" w:ascii="Times New Roman" w:hAnsi="Times New Roman"/>
          <w:color w:val="000000"/>
          <w:lang w:val="en-US" w:eastAsia="zh-CN"/>
        </w:rPr>
      </w:pPr>
      <w:bookmarkStart w:id="219" w:name="_Toc477"/>
      <w:bookmarkStart w:id="220" w:name="_Toc19271"/>
      <w:bookmarkStart w:id="221" w:name="_Toc2300"/>
      <w:r>
        <w:rPr>
          <w:rFonts w:hint="eastAsia" w:ascii="Times New Roman" w:hAnsi="Times New Roman"/>
          <w:color w:val="000000"/>
          <w:lang w:val="en-US" w:eastAsia="zh-CN"/>
        </w:rPr>
        <w:t>7.3 定标</w:t>
      </w:r>
      <w:bookmarkEnd w:id="219"/>
      <w:bookmarkEnd w:id="220"/>
      <w:bookmarkEnd w:id="221"/>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000000"/>
        </w:rPr>
      </w:pPr>
      <w:r>
        <w:rPr>
          <w:rFonts w:hint="eastAsia" w:ascii="宋体" w:hAnsi="宋体" w:eastAsia="宋体" w:cs="宋体"/>
          <w:sz w:val="21"/>
          <w:szCs w:val="21"/>
          <w:lang w:val="en-US" w:eastAsia="zh-CN"/>
        </w:rPr>
        <w:t>定标</w:t>
      </w:r>
      <w:r>
        <w:rPr>
          <w:rFonts w:hint="eastAsia" w:ascii="宋体" w:hAnsi="宋体" w:eastAsia="宋体" w:cs="宋体"/>
          <w:sz w:val="21"/>
          <w:szCs w:val="21"/>
        </w:rPr>
        <w:t>委员会按照第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因素、标准和程序对</w:t>
      </w:r>
      <w:r>
        <w:rPr>
          <w:rFonts w:hint="eastAsia" w:ascii="宋体" w:hAnsi="宋体" w:cs="宋体"/>
          <w:sz w:val="21"/>
          <w:szCs w:val="21"/>
          <w:lang w:val="en-US" w:eastAsia="zh-CN"/>
        </w:rPr>
        <w:t>中标候选人</w:t>
      </w:r>
      <w:r>
        <w:rPr>
          <w:rFonts w:hint="eastAsia" w:ascii="宋体" w:hAnsi="宋体" w:eastAsia="宋体" w:cs="宋体"/>
          <w:sz w:val="21"/>
          <w:szCs w:val="21"/>
        </w:rPr>
        <w:t>进行</w:t>
      </w:r>
      <w:r>
        <w:rPr>
          <w:rFonts w:hint="eastAsia" w:ascii="宋体" w:hAnsi="宋体" w:eastAsia="宋体" w:cs="宋体"/>
          <w:sz w:val="21"/>
          <w:szCs w:val="21"/>
          <w:lang w:val="en-US" w:eastAsia="zh-CN"/>
        </w:rPr>
        <w:t>择优</w:t>
      </w:r>
      <w:r>
        <w:rPr>
          <w:rFonts w:hint="eastAsia" w:ascii="宋体" w:hAnsi="宋体" w:eastAsia="宋体" w:cs="宋体"/>
          <w:sz w:val="21"/>
          <w:szCs w:val="21"/>
        </w:rPr>
        <w:t>。第</w:t>
      </w:r>
      <w:r>
        <w:rPr>
          <w:rFonts w:hint="eastAsia" w:ascii="宋体" w:hAnsi="宋体" w:eastAsia="宋体" w:cs="宋体"/>
          <w:sz w:val="21"/>
          <w:szCs w:val="21"/>
          <w:lang w:val="en-US" w:eastAsia="zh-CN"/>
        </w:rPr>
        <w:t>四</w:t>
      </w:r>
      <w:r>
        <w:rPr>
          <w:rFonts w:hint="eastAsia" w:ascii="宋体" w:hAnsi="宋体" w:eastAsia="宋体" w:cs="宋体"/>
          <w:sz w:val="21"/>
          <w:szCs w:val="21"/>
        </w:rPr>
        <w:t>章“</w:t>
      </w:r>
      <w:r>
        <w:rPr>
          <w:rFonts w:hint="eastAsia" w:ascii="宋体" w:hAnsi="宋体" w:eastAsia="宋体" w:cs="宋体"/>
          <w:sz w:val="21"/>
          <w:szCs w:val="21"/>
          <w:lang w:val="en-US" w:eastAsia="zh-CN"/>
        </w:rPr>
        <w:t>定标</w:t>
      </w:r>
      <w:r>
        <w:rPr>
          <w:rFonts w:hint="eastAsia" w:ascii="宋体" w:hAnsi="宋体" w:eastAsia="宋体" w:cs="宋体"/>
          <w:sz w:val="21"/>
          <w:szCs w:val="21"/>
        </w:rPr>
        <w:t>办法”没有规定的方法、</w:t>
      </w:r>
      <w:r>
        <w:rPr>
          <w:rFonts w:hint="eastAsia" w:ascii="宋体" w:hAnsi="宋体" w:eastAsia="宋体" w:cs="宋体"/>
          <w:sz w:val="21"/>
          <w:szCs w:val="21"/>
          <w:lang w:val="en-US" w:eastAsia="zh-CN"/>
        </w:rPr>
        <w:t>择优</w:t>
      </w:r>
      <w:r>
        <w:rPr>
          <w:rFonts w:hint="eastAsia" w:ascii="宋体" w:hAnsi="宋体" w:eastAsia="宋体" w:cs="宋体"/>
          <w:sz w:val="21"/>
          <w:szCs w:val="21"/>
        </w:rPr>
        <w:t>因素和标准，不作为</w:t>
      </w:r>
      <w:r>
        <w:rPr>
          <w:rFonts w:hint="eastAsia" w:ascii="宋体" w:hAnsi="宋体" w:eastAsia="宋体" w:cs="宋体"/>
          <w:sz w:val="21"/>
          <w:szCs w:val="21"/>
          <w:lang w:val="en-US" w:eastAsia="zh-CN"/>
        </w:rPr>
        <w:t>择优</w:t>
      </w:r>
      <w:r>
        <w:rPr>
          <w:rFonts w:hint="eastAsia" w:ascii="宋体" w:hAnsi="宋体" w:eastAsia="宋体" w:cs="宋体"/>
          <w:sz w:val="21"/>
          <w:szCs w:val="21"/>
        </w:rPr>
        <w:t>依据。</w:t>
      </w:r>
    </w:p>
    <w:p>
      <w:pPr>
        <w:pStyle w:val="3"/>
        <w:rPr>
          <w:rFonts w:ascii="Times New Roman" w:hAnsi="Times New Roman"/>
          <w:color w:val="000000"/>
        </w:rPr>
      </w:pPr>
      <w:bookmarkStart w:id="222" w:name="_Toc29882"/>
      <w:r>
        <w:rPr>
          <w:rFonts w:hint="eastAsia" w:ascii="Times New Roman" w:hAnsi="Times New Roman"/>
          <w:color w:val="000000"/>
          <w:lang w:val="en-US" w:eastAsia="zh-CN"/>
        </w:rPr>
        <w:t>8</w:t>
      </w:r>
      <w:r>
        <w:rPr>
          <w:rFonts w:ascii="Times New Roman" w:hAnsi="Times New Roman"/>
          <w:color w:val="000000"/>
        </w:rPr>
        <w:t>. 合同授予</w:t>
      </w:r>
      <w:bookmarkEnd w:id="222"/>
    </w:p>
    <w:p>
      <w:pPr>
        <w:pStyle w:val="4"/>
        <w:spacing w:line="240" w:lineRule="auto"/>
        <w:ind w:firstLine="137"/>
        <w:rPr>
          <w:rFonts w:ascii="Times New Roman" w:hAnsi="Times New Roman"/>
          <w:color w:val="000000"/>
        </w:rPr>
      </w:pPr>
      <w:bookmarkStart w:id="223" w:name="_Toc21209"/>
      <w:r>
        <w:rPr>
          <w:rFonts w:hint="eastAsia" w:ascii="Times New Roman" w:hAnsi="Times New Roman"/>
          <w:color w:val="000000"/>
          <w:lang w:val="en-US" w:eastAsia="zh-CN"/>
        </w:rPr>
        <w:t>8</w:t>
      </w:r>
      <w:r>
        <w:rPr>
          <w:rFonts w:ascii="Times New Roman" w:hAnsi="Times New Roman"/>
          <w:color w:val="000000"/>
        </w:rPr>
        <w:t>.1 中标候选人公示</w:t>
      </w:r>
      <w:bookmarkEnd w:id="223"/>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招标人在收到评标报告之日起3日内，按照投标人须知前附表规定的公示媒介和期限公示中标候选人，公示期不得少于3天。</w:t>
      </w:r>
    </w:p>
    <w:p>
      <w:pPr>
        <w:pStyle w:val="4"/>
        <w:spacing w:line="240" w:lineRule="auto"/>
        <w:ind w:firstLine="137"/>
        <w:rPr>
          <w:rFonts w:ascii="Times New Roman" w:hAnsi="Times New Roman"/>
          <w:color w:val="000000"/>
        </w:rPr>
      </w:pPr>
      <w:bookmarkStart w:id="224" w:name="_Toc15047"/>
      <w:r>
        <w:rPr>
          <w:rFonts w:hint="eastAsia" w:ascii="Times New Roman" w:hAnsi="Times New Roman"/>
          <w:color w:val="000000"/>
          <w:lang w:val="en-US" w:eastAsia="zh-CN"/>
        </w:rPr>
        <w:t>8</w:t>
      </w:r>
      <w:r>
        <w:rPr>
          <w:rFonts w:ascii="Times New Roman" w:hAnsi="Times New Roman"/>
          <w:color w:val="000000"/>
        </w:rPr>
        <w:t>.2 评标结果异议</w:t>
      </w:r>
      <w:bookmarkEnd w:id="224"/>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25" w:name="_Toc152042337"/>
      <w:bookmarkStart w:id="226" w:name="_Toc300834982"/>
      <w:bookmarkStart w:id="227" w:name="_Toc247527586"/>
      <w:bookmarkStart w:id="228" w:name="_Toc369531549"/>
      <w:bookmarkStart w:id="229" w:name="_Toc152045561"/>
      <w:bookmarkStart w:id="230" w:name="_Toc384308243"/>
      <w:bookmarkStart w:id="231" w:name="_Toc361508618"/>
      <w:bookmarkStart w:id="232" w:name="_Toc247513985"/>
      <w:bookmarkStart w:id="233" w:name="_Toc30095"/>
      <w:bookmarkStart w:id="234" w:name="_Toc144974529"/>
      <w:bookmarkStart w:id="235" w:name="_Toc352691505"/>
      <w:r>
        <w:rPr>
          <w:rFonts w:ascii="Times New Roman" w:hAnsi="Times New Roman"/>
          <w:color w:val="000000"/>
        </w:rPr>
        <w:t>害关系人对评标结</w:t>
      </w:r>
      <w:bookmarkEnd w:id="225"/>
      <w:bookmarkEnd w:id="226"/>
      <w:bookmarkEnd w:id="227"/>
      <w:bookmarkEnd w:id="228"/>
      <w:bookmarkEnd w:id="229"/>
      <w:bookmarkEnd w:id="230"/>
      <w:bookmarkEnd w:id="231"/>
      <w:bookmarkEnd w:id="232"/>
      <w:bookmarkEnd w:id="233"/>
      <w:bookmarkEnd w:id="234"/>
      <w:bookmarkEnd w:id="235"/>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36" w:name="_Toc18637"/>
      <w:r>
        <w:rPr>
          <w:rFonts w:hint="eastAsia" w:ascii="Times New Roman" w:hAnsi="Times New Roman"/>
          <w:color w:val="000000"/>
          <w:lang w:val="en-US" w:eastAsia="zh-CN"/>
        </w:rPr>
        <w:t>8</w:t>
      </w:r>
      <w:r>
        <w:rPr>
          <w:rFonts w:ascii="Times New Roman" w:hAnsi="Times New Roman"/>
          <w:color w:val="000000"/>
        </w:rPr>
        <w:t>.3 中标候选人履约能力审查</w:t>
      </w:r>
      <w:bookmarkEnd w:id="236"/>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37" w:name="_Toc10049"/>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中标通知</w:t>
      </w:r>
      <w:bookmarkEnd w:id="237"/>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38" w:name="_Toc369531550"/>
      <w:bookmarkStart w:id="239" w:name="_Toc361508619"/>
      <w:bookmarkStart w:id="240" w:name="_Toc300834983"/>
      <w:bookmarkStart w:id="241" w:name="_Toc5668"/>
      <w:bookmarkStart w:id="242" w:name="_Toc384308244"/>
      <w:bookmarkStart w:id="243" w:name="_Toc352691506"/>
      <w:r>
        <w:rPr>
          <w:rFonts w:ascii="Times New Roman" w:hAnsi="Times New Roman"/>
          <w:color w:val="000000"/>
        </w:rPr>
        <w:t>通知书，同时将中</w:t>
      </w:r>
      <w:bookmarkEnd w:id="238"/>
      <w:bookmarkEnd w:id="239"/>
      <w:bookmarkEnd w:id="240"/>
      <w:bookmarkEnd w:id="241"/>
      <w:bookmarkEnd w:id="242"/>
      <w:bookmarkEnd w:id="243"/>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44" w:name="_Toc9342"/>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履约保证金</w:t>
      </w:r>
      <w:bookmarkEnd w:id="244"/>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8.5</w:t>
      </w:r>
      <w:r>
        <w:rPr>
          <w:rFonts w:ascii="Times New Roman" w:hAnsi="Times New Roman"/>
          <w:color w:val="000000"/>
        </w:rPr>
        <w:t>.2 中标人不能按本章第</w:t>
      </w:r>
      <w:r>
        <w:rPr>
          <w:rFonts w:hint="eastAsia" w:ascii="Times New Roman" w:hAnsi="Times New Roman"/>
          <w:color w:val="000000"/>
          <w:lang w:val="en-US" w:eastAsia="zh-CN"/>
        </w:rPr>
        <w:t>8.5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45" w:name="_Toc3172"/>
      <w:r>
        <w:rPr>
          <w:rFonts w:hint="eastAsia" w:ascii="Times New Roman" w:hAnsi="Times New Roman"/>
          <w:color w:val="000000"/>
          <w:lang w:val="en-US" w:eastAsia="zh-CN"/>
        </w:rPr>
        <w:t>8</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签订合同</w:t>
      </w:r>
      <w:bookmarkEnd w:id="245"/>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8.6</w:t>
      </w:r>
      <w:r>
        <w:rPr>
          <w:rFonts w:ascii="Times New Roman" w:hAnsi="Times New Roman"/>
          <w:color w:val="000000"/>
        </w:rPr>
        <w:t>.1 招标人和中标人应当在中标通知书发出之日起</w:t>
      </w:r>
      <w:bookmarkStart w:id="246" w:name="_Toc361508622"/>
      <w:bookmarkStart w:id="247" w:name="_Toc369531553"/>
      <w:bookmarkStart w:id="248" w:name="_Toc247513988"/>
      <w:bookmarkStart w:id="249" w:name="_Toc144974532"/>
      <w:bookmarkStart w:id="250" w:name="_Toc4656"/>
      <w:bookmarkStart w:id="251" w:name="_Toc152042340"/>
      <w:bookmarkStart w:id="252" w:name="_Toc352691509"/>
      <w:bookmarkStart w:id="253" w:name="_Toc247527589"/>
      <w:bookmarkStart w:id="254" w:name="_Toc384308247"/>
      <w:bookmarkStart w:id="255" w:name="_Toc300834986"/>
      <w:bookmarkStart w:id="256" w:name="_Toc152045564"/>
      <w:r>
        <w:rPr>
          <w:rFonts w:ascii="Times New Roman" w:hAnsi="Times New Roman"/>
          <w:color w:val="000000"/>
        </w:rPr>
        <w:t>30日内，根据招</w:t>
      </w:r>
      <w:bookmarkEnd w:id="246"/>
      <w:bookmarkEnd w:id="247"/>
      <w:bookmarkEnd w:id="248"/>
      <w:bookmarkEnd w:id="249"/>
      <w:bookmarkEnd w:id="250"/>
      <w:bookmarkEnd w:id="251"/>
      <w:bookmarkEnd w:id="252"/>
      <w:bookmarkEnd w:id="253"/>
      <w:bookmarkEnd w:id="254"/>
      <w:bookmarkEnd w:id="255"/>
      <w:bookmarkEnd w:id="256"/>
      <w:r>
        <w:rPr>
          <w:rFonts w:ascii="Times New Roman" w:hAnsi="Times New Roman"/>
          <w:color w:val="000000"/>
        </w:rPr>
        <w:t>标文件和中标人的投标文件订立书面合同。中标人</w:t>
      </w:r>
      <w:r>
        <w:rPr>
          <w:rFonts w:hint="eastAsia"/>
        </w:rPr>
        <w:t>无正当理由拒签合同，在签订合同时向招标人提出附加条件，或者不按照招标文件要求提交履约保证金的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8.6</w:t>
      </w:r>
      <w:r>
        <w:rPr>
          <w:rFonts w:ascii="Times New Roman" w:hAnsi="Times New Roman"/>
          <w:color w:val="000000"/>
        </w:rPr>
        <w:t>.2 发出中标通知书后，招标人无正当理由拒签合同，或者</w:t>
      </w:r>
      <w:r>
        <w:rPr>
          <w:rFonts w:hint="eastAsia"/>
        </w:rPr>
        <w:t>在签订合同时向中标人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8.6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57" w:name="_Toc361508627"/>
      <w:bookmarkStart w:id="258" w:name="_Toc384308252"/>
      <w:bookmarkStart w:id="259" w:name="_Toc24067"/>
      <w:bookmarkStart w:id="260" w:name="_Toc31115"/>
      <w:bookmarkStart w:id="261" w:name="_Toc300834991"/>
      <w:bookmarkStart w:id="262" w:name="_Toc152042344"/>
      <w:bookmarkStart w:id="263" w:name="_Toc247527593"/>
      <w:bookmarkStart w:id="264" w:name="_Toc152045568"/>
      <w:bookmarkStart w:id="265" w:name="_Toc144974536"/>
      <w:bookmarkStart w:id="266" w:name="_Toc247513992"/>
      <w:r>
        <w:rPr>
          <w:rFonts w:hint="eastAsia" w:ascii="Times New Roman" w:hAnsi="Times New Roman"/>
          <w:color w:val="000000"/>
          <w:lang w:val="en-US" w:eastAsia="zh-CN"/>
        </w:rPr>
        <w:t>9</w:t>
      </w:r>
      <w:r>
        <w:rPr>
          <w:rFonts w:ascii="Times New Roman" w:hAnsi="Times New Roman"/>
          <w:color w:val="000000"/>
        </w:rPr>
        <w:t>.</w:t>
      </w:r>
      <w:bookmarkEnd w:id="257"/>
      <w:bookmarkEnd w:id="258"/>
      <w:bookmarkEnd w:id="259"/>
      <w:r>
        <w:rPr>
          <w:rFonts w:ascii="Times New Roman" w:hAnsi="Times New Roman"/>
          <w:color w:val="000000"/>
        </w:rPr>
        <w:t>纪律和监督</w:t>
      </w:r>
      <w:bookmarkEnd w:id="260"/>
    </w:p>
    <w:p>
      <w:pPr>
        <w:pStyle w:val="4"/>
        <w:spacing w:line="240" w:lineRule="auto"/>
        <w:ind w:firstLine="137"/>
        <w:rPr>
          <w:rFonts w:ascii="Times New Roman" w:hAnsi="Times New Roman"/>
          <w:color w:val="000000"/>
        </w:rPr>
      </w:pPr>
      <w:bookmarkStart w:id="267" w:name="_Toc14462"/>
      <w:r>
        <w:rPr>
          <w:rFonts w:hint="eastAsia" w:ascii="Times New Roman" w:hAnsi="Times New Roman"/>
          <w:color w:val="000000"/>
          <w:lang w:val="en-US" w:eastAsia="zh-CN"/>
        </w:rPr>
        <w:t>9</w:t>
      </w:r>
      <w:r>
        <w:rPr>
          <w:rFonts w:ascii="Times New Roman" w:hAnsi="Times New Roman"/>
          <w:color w:val="000000"/>
        </w:rPr>
        <w:t>.1 对招标人的纪律要求</w:t>
      </w:r>
      <w:bookmarkEnd w:id="267"/>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68" w:name="_Toc18849"/>
      <w:r>
        <w:rPr>
          <w:rFonts w:hint="eastAsia" w:ascii="Times New Roman" w:hAnsi="Times New Roman"/>
          <w:color w:val="000000"/>
          <w:lang w:val="en-US" w:eastAsia="zh-CN"/>
        </w:rPr>
        <w:t>9</w:t>
      </w:r>
      <w:r>
        <w:rPr>
          <w:rFonts w:ascii="Times New Roman" w:hAnsi="Times New Roman"/>
          <w:color w:val="000000"/>
        </w:rPr>
        <w:t>.2 对投标人的纪律要求</w:t>
      </w:r>
      <w:bookmarkEnd w:id="268"/>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69" w:name="_Toc18612"/>
      <w:r>
        <w:rPr>
          <w:rFonts w:hint="eastAsia" w:ascii="Times New Roman" w:hAnsi="Times New Roman"/>
          <w:color w:val="000000"/>
          <w:lang w:val="en-US" w:eastAsia="zh-CN"/>
        </w:rPr>
        <w:t>9</w:t>
      </w:r>
      <w:r>
        <w:rPr>
          <w:rFonts w:ascii="Times New Roman" w:hAnsi="Times New Roman"/>
          <w:color w:val="000000"/>
        </w:rPr>
        <w:t>.3 对评标委员会成员的纪律要求</w:t>
      </w:r>
      <w:bookmarkEnd w:id="269"/>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70" w:name="_Toc13644"/>
      <w:bookmarkStart w:id="271" w:name="_Toc361508628"/>
      <w:bookmarkStart w:id="272" w:name="_Toc369531559"/>
      <w:bookmarkStart w:id="273" w:name="_Toc352691515"/>
      <w:bookmarkStart w:id="274" w:name="_Toc384308253"/>
      <w:r>
        <w:rPr>
          <w:rFonts w:ascii="Times New Roman" w:hAnsi="Times New Roman"/>
          <w:color w:val="000000"/>
        </w:rPr>
        <w:t>和比较、中标候选人</w:t>
      </w:r>
      <w:bookmarkEnd w:id="261"/>
      <w:bookmarkEnd w:id="262"/>
      <w:bookmarkEnd w:id="263"/>
      <w:bookmarkEnd w:id="264"/>
      <w:bookmarkEnd w:id="265"/>
      <w:bookmarkEnd w:id="266"/>
      <w:bookmarkEnd w:id="270"/>
      <w:bookmarkEnd w:id="271"/>
      <w:bookmarkEnd w:id="272"/>
      <w:bookmarkEnd w:id="273"/>
      <w:bookmarkEnd w:id="274"/>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75" w:name="_Toc7866"/>
      <w:r>
        <w:rPr>
          <w:rFonts w:hint="eastAsia" w:ascii="Times New Roman" w:hAnsi="Times New Roman"/>
          <w:color w:val="000000"/>
          <w:lang w:val="en-US" w:eastAsia="zh-CN"/>
        </w:rPr>
        <w:t>9</w:t>
      </w:r>
      <w:r>
        <w:rPr>
          <w:rFonts w:ascii="Times New Roman" w:hAnsi="Times New Roman"/>
          <w:color w:val="000000"/>
        </w:rPr>
        <w:t>.4 对与评标活动有关的工作人员的纪律要求</w:t>
      </w:r>
      <w:bookmarkEnd w:id="275"/>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76" w:name="_Toc247513993"/>
      <w:bookmarkStart w:id="277" w:name="_Toc300834992"/>
      <w:bookmarkStart w:id="278" w:name="_Toc352691516"/>
      <w:bookmarkStart w:id="279" w:name="_Toc369531560"/>
      <w:bookmarkStart w:id="280" w:name="_Toc144974537"/>
      <w:bookmarkStart w:id="281" w:name="_Toc19429"/>
      <w:bookmarkStart w:id="282" w:name="_Toc247527594"/>
      <w:bookmarkStart w:id="283" w:name="_Toc384308254"/>
      <w:bookmarkStart w:id="284" w:name="_Toc361508629"/>
      <w:bookmarkStart w:id="285" w:name="_Toc152045569"/>
      <w:bookmarkStart w:id="286" w:name="_Toc152042345"/>
      <w:r>
        <w:rPr>
          <w:rFonts w:ascii="Times New Roman" w:hAnsi="Times New Roman"/>
          <w:color w:val="000000"/>
        </w:rPr>
        <w:t>的评审和比较、中标</w:t>
      </w:r>
      <w:bookmarkEnd w:id="276"/>
      <w:bookmarkEnd w:id="277"/>
      <w:bookmarkEnd w:id="278"/>
      <w:bookmarkEnd w:id="279"/>
      <w:bookmarkEnd w:id="280"/>
      <w:bookmarkEnd w:id="281"/>
      <w:bookmarkEnd w:id="282"/>
      <w:bookmarkEnd w:id="283"/>
      <w:bookmarkEnd w:id="284"/>
      <w:bookmarkEnd w:id="285"/>
      <w:bookmarkEnd w:id="286"/>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87" w:name="_Toc8921"/>
      <w:r>
        <w:rPr>
          <w:rFonts w:hint="eastAsia" w:ascii="Times New Roman" w:hAnsi="Times New Roman"/>
          <w:color w:val="000000"/>
          <w:lang w:val="en-US" w:eastAsia="zh-CN"/>
        </w:rPr>
        <w:t>9</w:t>
      </w:r>
      <w:r>
        <w:rPr>
          <w:rFonts w:ascii="Times New Roman" w:hAnsi="Times New Roman"/>
          <w:color w:val="000000"/>
        </w:rPr>
        <w:t>.5 投诉</w:t>
      </w:r>
      <w:bookmarkEnd w:id="287"/>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9</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highlight w:val="yellow"/>
          <w:lang w:val="en-US" w:eastAsia="zh-CN"/>
        </w:rPr>
        <w:t>8</w:t>
      </w:r>
      <w:r>
        <w:rPr>
          <w:rFonts w:ascii="Times New Roman" w:hAnsi="Times New Roman"/>
          <w:color w:val="000000"/>
          <w:highlight w:val="yellow"/>
        </w:rPr>
        <w:t>.2款</w:t>
      </w:r>
      <w:r>
        <w:rPr>
          <w:rFonts w:ascii="Times New Roman" w:hAnsi="Times New Roman"/>
          <w:color w:val="000000"/>
        </w:rPr>
        <w:t>的规定先向招标人提出异议。异议答复期间</w:t>
      </w:r>
      <w:bookmarkStart w:id="288" w:name="_Toc300834993"/>
      <w:bookmarkStart w:id="289" w:name="_Toc152045570"/>
      <w:bookmarkStart w:id="290" w:name="_Toc369531561"/>
      <w:bookmarkStart w:id="291" w:name="_Toc144974538"/>
      <w:bookmarkStart w:id="292" w:name="_Toc152042346"/>
      <w:bookmarkStart w:id="293" w:name="_Toc384308255"/>
      <w:bookmarkStart w:id="294" w:name="_Toc12776"/>
      <w:bookmarkStart w:id="295" w:name="_Toc352691517"/>
      <w:bookmarkStart w:id="296" w:name="_Toc247527595"/>
      <w:bookmarkStart w:id="297" w:name="_Toc247513994"/>
      <w:bookmarkStart w:id="298" w:name="_Toc361508630"/>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88"/>
      <w:bookmarkEnd w:id="289"/>
      <w:bookmarkEnd w:id="290"/>
      <w:bookmarkEnd w:id="291"/>
      <w:bookmarkEnd w:id="292"/>
      <w:bookmarkEnd w:id="293"/>
      <w:bookmarkEnd w:id="294"/>
      <w:bookmarkEnd w:id="295"/>
      <w:bookmarkEnd w:id="296"/>
      <w:bookmarkEnd w:id="297"/>
      <w:bookmarkEnd w:id="298"/>
      <w:r>
        <w:rPr>
          <w:rFonts w:ascii="Times New Roman" w:hAnsi="Times New Roman"/>
          <w:color w:val="000000"/>
        </w:rPr>
        <w:t>1项规定的期限内。</w:t>
      </w:r>
    </w:p>
    <w:p>
      <w:pPr>
        <w:pStyle w:val="3"/>
        <w:spacing w:line="240" w:lineRule="auto"/>
        <w:rPr>
          <w:rFonts w:ascii="Times New Roman" w:hAnsi="Times New Roman"/>
        </w:rPr>
      </w:pPr>
      <w:bookmarkStart w:id="299" w:name="_Toc477134992"/>
      <w:bookmarkStart w:id="300" w:name="_Toc17429"/>
      <w:r>
        <w:rPr>
          <w:rFonts w:hint="eastAsia" w:ascii="Times New Roman" w:hAnsi="Times New Roman"/>
          <w:lang w:val="en-US" w:eastAsia="zh-CN"/>
        </w:rPr>
        <w:t>10</w:t>
      </w:r>
      <w:r>
        <w:rPr>
          <w:rFonts w:ascii="Times New Roman" w:hAnsi="Times New Roman"/>
        </w:rPr>
        <w:t>. 是否采用电子招标投标</w:t>
      </w:r>
      <w:bookmarkEnd w:id="299"/>
      <w:bookmarkEnd w:id="300"/>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301" w:name="_Toc22277"/>
      <w:r>
        <w:rPr>
          <w:rFonts w:ascii="Times New Roman" w:hAnsi="Times New Roman"/>
        </w:rPr>
        <w:t>1</w:t>
      </w:r>
      <w:r>
        <w:rPr>
          <w:rFonts w:hint="eastAsia" w:ascii="Times New Roman" w:hAnsi="Times New Roman"/>
          <w:lang w:val="en-US" w:eastAsia="zh-CN"/>
        </w:rPr>
        <w:t>1</w:t>
      </w:r>
      <w:r>
        <w:rPr>
          <w:rFonts w:ascii="Times New Roman" w:hAnsi="Times New Roman"/>
        </w:rPr>
        <w:t>. 需要补充的其他内容</w:t>
      </w:r>
      <w:bookmarkEnd w:id="301"/>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jc w:val="center"/>
        <w:rPr>
          <w:color w:val="000000"/>
        </w:rPr>
      </w:pPr>
      <w:bookmarkStart w:id="302" w:name="_Toc31735"/>
      <w:r>
        <w:rPr>
          <w:color w:val="000000"/>
        </w:rPr>
        <w:t>第三章评标办法</w:t>
      </w:r>
      <w:r>
        <w:t>（</w:t>
      </w:r>
      <w:r>
        <w:rPr>
          <w:rFonts w:hint="eastAsia"/>
          <w:lang w:val="en-US" w:eastAsia="zh-CN"/>
        </w:rPr>
        <w:t>材料采购</w:t>
      </w:r>
      <w:r>
        <w:t>综合评估法）</w:t>
      </w:r>
      <w:bookmarkEnd w:id="302"/>
    </w:p>
    <w:p>
      <w:pPr>
        <w:pStyle w:val="3"/>
        <w:rPr>
          <w:rFonts w:ascii="Times New Roman" w:hAnsi="Times New Roman"/>
          <w:color w:val="000000"/>
        </w:rPr>
      </w:pPr>
      <w:bookmarkStart w:id="303" w:name="_Toc28365"/>
      <w:r>
        <w:rPr>
          <w:rFonts w:ascii="Times New Roman" w:hAnsi="Times New Roman"/>
          <w:color w:val="000000"/>
        </w:rPr>
        <w:t>评标办法前附表</w:t>
      </w:r>
      <w:bookmarkEnd w:id="303"/>
    </w:p>
    <w:tbl>
      <w:tblPr>
        <w:tblStyle w:val="2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材料采购综合评估法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w:t>
            </w:r>
            <w:r>
              <w:rPr>
                <w:rFonts w:hint="eastAsia" w:ascii="Times New Roman" w:hAnsi="Times New Roman"/>
                <w:color w:val="000000"/>
                <w:lang w:val="en-US" w:eastAsia="zh-CN"/>
              </w:rPr>
              <w:t>七</w:t>
            </w:r>
            <w:r>
              <w:rPr>
                <w:rFonts w:ascii="Times New Roman" w:hAnsi="Times New Roman"/>
                <w:color w:val="000000"/>
              </w:rPr>
              <w:t>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Times New Roman" w:hAnsi="Times New Roman" w:eastAsia="宋体" w:cs="Times New Roman"/>
                <w:color w:val="auto"/>
                <w:kern w:val="2"/>
                <w:sz w:val="21"/>
                <w:szCs w:val="22"/>
                <w:highlight w:val="yellow"/>
                <w:lang w:val="en-US" w:eastAsia="zh-CN" w:bidi="ar-SA"/>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eastAsia="宋体" w:cs="Times New Roman"/>
                <w:color w:val="auto"/>
                <w:kern w:val="2"/>
                <w:sz w:val="21"/>
                <w:szCs w:val="22"/>
                <w:highlight w:val="yellow"/>
                <w:lang w:val="en-US" w:eastAsia="zh-CN" w:bidi="ar-SA"/>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营业执照和组织机构代码证</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符合第二章“投标人须知”第3.5.1项规定，具备有效的营业执照和组织机构代码证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325"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投标材料制造商的资质要求（如有）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投标材料的业绩要求（如有）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交货期</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交货地点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质量要求</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4</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0</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w:t>
            </w:r>
            <w:r>
              <w:rPr>
                <w:rFonts w:hint="eastAsia" w:ascii="Times New Roman" w:hAnsi="Times New Roman"/>
              </w:rPr>
              <w:t>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投标材料及相关服务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rPr>
              <w:t>技术支持资料</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color w:val="000000"/>
              </w:rPr>
            </w:pPr>
            <w:r>
              <w:rPr>
                <w:rFonts w:ascii="Times New Roman" w:hAnsi="Times New Roman"/>
                <w:color w:val="000000"/>
              </w:rPr>
              <w:t>符合第二章“投标人须知”第1.1</w:t>
            </w:r>
            <w:r>
              <w:rPr>
                <w:rFonts w:hint="eastAsia" w:ascii="Times New Roman" w:hAnsi="Times New Roman"/>
                <w:color w:val="000000"/>
                <w:lang w:val="en-US" w:eastAsia="zh-CN"/>
              </w:rPr>
              <w:t>0</w:t>
            </w:r>
            <w:r>
              <w:rPr>
                <w:rFonts w:ascii="Times New Roman" w:hAnsi="Times New Roman"/>
                <w:color w:val="000000"/>
              </w:rPr>
              <w:t>.3</w:t>
            </w:r>
            <w:r>
              <w:rPr>
                <w:rFonts w:ascii="Times New Roman" w:hAnsi="Times New Roman"/>
              </w:rPr>
              <w:t>项规定</w:t>
            </w:r>
          </w:p>
        </w:tc>
      </w:tr>
    </w:tbl>
    <w:p>
      <w:r>
        <w:br w:type="page"/>
      </w:r>
    </w:p>
    <w:tbl>
      <w:tblPr>
        <w:tblStyle w:val="25"/>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commentRangeStart w:id="6"/>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commentRangeEnd w:id="6"/>
            <w:r>
              <w:commentReference w:id="6"/>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nil"/>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对投标人</w:t>
            </w:r>
            <w:r>
              <w:rPr>
                <w:rFonts w:ascii="Times New Roman" w:hAnsi="Times New Roman"/>
                <w:color w:val="000000"/>
              </w:rPr>
              <w:t>履约能力的评价</w:t>
            </w:r>
            <w:bookmarkStart w:id="304" w:name="_Toc384308271"/>
            <w:bookmarkStart w:id="305" w:name="_Toc144974553"/>
            <w:bookmarkStart w:id="306" w:name="_Toc12369"/>
            <w:bookmarkStart w:id="307" w:name="_Toc247514010"/>
            <w:bookmarkStart w:id="308" w:name="_Toc247527611"/>
            <w:bookmarkStart w:id="309" w:name="_Toc352691532"/>
            <w:bookmarkStart w:id="310" w:name="_Toc369531576"/>
            <w:bookmarkStart w:id="311" w:name="_Toc300835007"/>
            <w:bookmarkStart w:id="312" w:name="_Toc152042363"/>
            <w:bookmarkStart w:id="313" w:name="_Toc152045586"/>
            <w:bookmarkStart w:id="314" w:name="_Toc361508645"/>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bookmarkEnd w:id="304"/>
      <w:bookmarkEnd w:id="305"/>
      <w:bookmarkEnd w:id="306"/>
      <w:bookmarkEnd w:id="307"/>
      <w:bookmarkEnd w:id="308"/>
      <w:bookmarkEnd w:id="309"/>
      <w:bookmarkEnd w:id="310"/>
      <w:bookmarkEnd w:id="311"/>
      <w:bookmarkEnd w:id="312"/>
      <w:bookmarkEnd w:id="313"/>
      <w:bookmarkEnd w:id="314"/>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rPr>
            </w:pPr>
            <w:r>
              <w:rPr>
                <w:rFonts w:ascii="Times New Roman" w:hAnsi="Times New Roman"/>
              </w:rPr>
              <w:t>对招标文件商务条款的响应程度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jc w:val="left"/>
              <w:rPr>
                <w:rFonts w:ascii="Times New Roman" w:hAnsi="Times New Roman"/>
              </w:rPr>
            </w:pPr>
            <w:r>
              <w:rPr>
                <w:rFonts w:ascii="Times New Roman" w:hAnsi="Times New Roman"/>
                <w:color w:val="000000"/>
              </w:rPr>
              <w:t>投标材料的业绩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技术</w:t>
            </w:r>
            <w:r>
              <w:rPr>
                <w:rFonts w:hint="eastAsia" w:ascii="Times New Roman" w:hAnsi="Times New Roman"/>
                <w:lang w:val="en-US" w:eastAsia="zh-CN"/>
              </w:rPr>
              <w:t>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对</w:t>
            </w:r>
            <w:r>
              <w:rPr>
                <w:rFonts w:ascii="Times New Roman" w:hAnsi="Times New Roman"/>
              </w:rPr>
              <w:t>投标材料整体</w:t>
            </w:r>
            <w:r>
              <w:rPr>
                <w:rFonts w:ascii="Times New Roman" w:hAnsi="Times New Roman"/>
                <w:kern w:val="0"/>
              </w:rPr>
              <w:t>评价</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kern w:val="0"/>
              </w:rPr>
              <w:t>投标材料质量标准的响应程度</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8" w:hRule="atLeast"/>
        </w:trPr>
        <w:tc>
          <w:tcPr>
            <w:tcW w:w="900"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1124" w:type="dxa"/>
            <w:vMerge w:val="continue"/>
            <w:tcBorders>
              <w:top w:val="single" w:color="auto" w:sz="4" w:space="0"/>
              <w:bottom w:val="single" w:color="auto" w:sz="4" w:space="0"/>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left"/>
              <w:rPr>
                <w:rFonts w:ascii="Times New Roman" w:hAnsi="Times New Roman"/>
              </w:rPr>
            </w:pPr>
            <w:r>
              <w:rPr>
                <w:rFonts w:ascii="Times New Roman" w:hAnsi="Times New Roman"/>
                <w:kern w:val="0"/>
              </w:rPr>
              <w:t>对投标人相关服务能力的评价</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ascii="Times New Roman" w:hAnsi="Times New Roman"/>
                <w:color w:val="000000"/>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r>
              <w:commentReference w:id="7"/>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315" w:name="_Toc16509"/>
      <w:r>
        <w:rPr>
          <w:rFonts w:ascii="Times New Roman" w:hAnsi="Times New Roman"/>
          <w:color w:val="000000"/>
        </w:rPr>
        <w:t>1. 评标方法</w:t>
      </w:r>
      <w:bookmarkEnd w:id="315"/>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本次评标采用综合评估法。评标委员会对满足招标文件实质性要求的投标文件，按照本章第2.2款规定的评分标准进行打分，并按得分由高到低顺序推荐中标候选人，但投标报价低于其成本的除</w:t>
      </w:r>
      <w:bookmarkStart w:id="316" w:name="_Toc144974565"/>
      <w:bookmarkStart w:id="317" w:name="_Toc247527623"/>
      <w:bookmarkStart w:id="318" w:name="_Toc152045598"/>
      <w:bookmarkStart w:id="319" w:name="_Toc247514022"/>
      <w:bookmarkStart w:id="320" w:name="_Toc384308272"/>
      <w:bookmarkStart w:id="321" w:name="_Toc361508646"/>
      <w:bookmarkStart w:id="322" w:name="_Toc300835008"/>
      <w:bookmarkStart w:id="323" w:name="_Toc152042375"/>
      <w:bookmarkStart w:id="324" w:name="_Toc352691533"/>
      <w:bookmarkStart w:id="325" w:name="_Toc369531577"/>
      <w:bookmarkStart w:id="326" w:name="_Toc4497"/>
      <w:r>
        <w:rPr>
          <w:rFonts w:ascii="Times New Roman" w:hAnsi="Times New Roman"/>
          <w:color w:val="000000"/>
        </w:rPr>
        <w:t>外。综合评分相等</w:t>
      </w:r>
      <w:bookmarkEnd w:id="316"/>
      <w:bookmarkEnd w:id="317"/>
      <w:bookmarkEnd w:id="318"/>
      <w:bookmarkEnd w:id="319"/>
      <w:bookmarkEnd w:id="320"/>
      <w:bookmarkEnd w:id="321"/>
      <w:bookmarkEnd w:id="322"/>
      <w:bookmarkEnd w:id="323"/>
      <w:r>
        <w:rPr>
          <w:rFonts w:ascii="Times New Roman" w:hAnsi="Times New Roman"/>
          <w:color w:val="000000"/>
        </w:rPr>
        <w:t>时，以投标报价低的</w:t>
      </w:r>
      <w:bookmarkEnd w:id="324"/>
      <w:bookmarkEnd w:id="325"/>
      <w:bookmarkEnd w:id="326"/>
      <w:r>
        <w:rPr>
          <w:rFonts w:ascii="Times New Roman" w:hAnsi="Times New Roman"/>
          <w:color w:val="000000"/>
        </w:rPr>
        <w:t>优</w:t>
      </w:r>
      <w:bookmarkStart w:id="327" w:name="_Toc39"/>
      <w:bookmarkStart w:id="328" w:name="_Toc247527624"/>
      <w:bookmarkStart w:id="329" w:name="_Toc144974566"/>
      <w:bookmarkStart w:id="330" w:name="_Toc352691534"/>
      <w:bookmarkStart w:id="331" w:name="_Toc247514023"/>
      <w:bookmarkStart w:id="332" w:name="_Toc152045599"/>
      <w:bookmarkStart w:id="333" w:name="_Toc300835009"/>
      <w:bookmarkStart w:id="334" w:name="_Toc369531578"/>
      <w:bookmarkStart w:id="335" w:name="_Toc152042376"/>
      <w:bookmarkStart w:id="336" w:name="_Toc361508647"/>
      <w:bookmarkStart w:id="337" w:name="_Toc384308273"/>
      <w:r>
        <w:rPr>
          <w:rFonts w:ascii="Times New Roman" w:hAnsi="Times New Roman"/>
          <w:color w:val="000000"/>
        </w:rPr>
        <w:t>先；投标报价也相等</w:t>
      </w:r>
      <w:bookmarkEnd w:id="327"/>
      <w:bookmarkEnd w:id="328"/>
      <w:bookmarkEnd w:id="329"/>
      <w:bookmarkEnd w:id="330"/>
      <w:bookmarkEnd w:id="331"/>
      <w:bookmarkEnd w:id="332"/>
      <w:bookmarkEnd w:id="333"/>
      <w:bookmarkEnd w:id="334"/>
      <w:bookmarkEnd w:id="335"/>
      <w:bookmarkEnd w:id="336"/>
      <w:bookmarkEnd w:id="337"/>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技术得分高的优先</w:t>
      </w:r>
      <w:r>
        <w:rPr>
          <w:rFonts w:hint="eastAsia" w:ascii="Times New Roman" w:hAnsi="Times New Roman"/>
          <w:color w:val="000000"/>
        </w:rPr>
        <w:t>；</w:t>
      </w:r>
      <w:r>
        <w:rPr>
          <w:rFonts w:ascii="Times New Roman" w:hAnsi="Times New Roman"/>
          <w:color w:val="000000"/>
        </w:rPr>
        <w:t>如果技术得分也相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38" w:name="_Toc8006"/>
      <w:r>
        <w:rPr>
          <w:rFonts w:ascii="Times New Roman" w:hAnsi="Times New Roman"/>
          <w:color w:val="000000"/>
        </w:rPr>
        <w:t>2. 评审标准</w:t>
      </w:r>
      <w:bookmarkEnd w:id="338"/>
    </w:p>
    <w:p>
      <w:pPr>
        <w:pStyle w:val="4"/>
        <w:spacing w:line="240" w:lineRule="auto"/>
        <w:ind w:firstLine="137"/>
        <w:rPr>
          <w:rFonts w:ascii="Times New Roman" w:hAnsi="Times New Roman"/>
          <w:color w:val="000000"/>
        </w:rPr>
      </w:pPr>
      <w:bookmarkStart w:id="339" w:name="_Toc20492"/>
      <w:r>
        <w:rPr>
          <w:rFonts w:ascii="Times New Roman" w:hAnsi="Times New Roman"/>
          <w:color w:val="000000"/>
        </w:rPr>
        <w:t>2.1 初步评审标准</w:t>
      </w:r>
      <w:bookmarkEnd w:id="339"/>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40" w:name="_Toc15432"/>
      <w:r>
        <w:rPr>
          <w:rFonts w:ascii="Times New Roman" w:hAnsi="Times New Roman"/>
          <w:color w:val="000000"/>
        </w:rPr>
        <w:t>2.2 分值构成与评分标准</w:t>
      </w:r>
      <w:bookmarkEnd w:id="340"/>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41" w:name="_Toc2586"/>
      <w:r>
        <w:rPr>
          <w:rFonts w:ascii="Times New Roman" w:hAnsi="Times New Roman"/>
          <w:color w:val="000000"/>
        </w:rPr>
        <w:t>3. 评标程序</w:t>
      </w:r>
      <w:bookmarkEnd w:id="341"/>
    </w:p>
    <w:p>
      <w:pPr>
        <w:pStyle w:val="4"/>
        <w:spacing w:line="240" w:lineRule="auto"/>
        <w:ind w:firstLine="137"/>
        <w:rPr>
          <w:rFonts w:ascii="Times New Roman" w:hAnsi="Times New Roman"/>
          <w:color w:val="000000"/>
        </w:rPr>
      </w:pPr>
      <w:bookmarkStart w:id="342" w:name="_Toc32385"/>
      <w:r>
        <w:rPr>
          <w:rFonts w:ascii="Times New Roman" w:hAnsi="Times New Roman"/>
          <w:color w:val="000000"/>
        </w:rPr>
        <w:t>3.1 初步评审</w:t>
      </w:r>
      <w:bookmarkEnd w:id="342"/>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43" w:name="_Toc384308277"/>
      <w:bookmarkStart w:id="344" w:name="_Toc2907"/>
      <w:bookmarkStart w:id="345" w:name="_Toc247527628"/>
      <w:bookmarkStart w:id="346" w:name="_Toc152042380"/>
      <w:bookmarkStart w:id="347" w:name="_Toc300835013"/>
      <w:bookmarkStart w:id="348" w:name="_Toc352691538"/>
      <w:bookmarkStart w:id="349" w:name="_Toc152045603"/>
      <w:bookmarkStart w:id="350" w:name="_Toc361508651"/>
      <w:bookmarkStart w:id="351" w:name="_Toc247514027"/>
      <w:bookmarkStart w:id="352" w:name="_Toc369531582"/>
      <w:bookmarkStart w:id="353" w:name="_Toc144974570"/>
      <w:r>
        <w:rPr>
          <w:rFonts w:ascii="Times New Roman" w:hAnsi="Times New Roman"/>
          <w:color w:val="000000"/>
        </w:rPr>
        <w:t>行修正，并要求投标人书面澄清确认。</w:t>
      </w:r>
      <w:bookmarkEnd w:id="343"/>
      <w:bookmarkEnd w:id="344"/>
      <w:bookmarkEnd w:id="345"/>
      <w:bookmarkEnd w:id="346"/>
      <w:bookmarkEnd w:id="347"/>
      <w:bookmarkEnd w:id="348"/>
      <w:bookmarkEnd w:id="349"/>
      <w:bookmarkEnd w:id="350"/>
      <w:bookmarkEnd w:id="351"/>
      <w:bookmarkEnd w:id="352"/>
      <w:bookmarkEnd w:id="353"/>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p>
    <w:p>
      <w:pPr>
        <w:spacing w:line="400" w:lineRule="exact"/>
        <w:ind w:firstLine="420" w:firstLineChars="200"/>
        <w:rPr>
          <w:rFonts w:ascii="Times New Roman" w:hAnsi="Times New Roman"/>
          <w:color w:val="000000"/>
        </w:rPr>
      </w:pPr>
      <w:r>
        <w:rPr>
          <w:rFonts w:ascii="Times New Roman" w:hAnsi="Times New Roman"/>
          <w:color w:val="000000"/>
        </w:rPr>
        <w:t>（3）投标报价为各分项报价金额之和，投标报价与分项报价的合价不一致的，应以各分项合价累计数为准，修正投标报价；</w:t>
      </w:r>
    </w:p>
    <w:p>
      <w:pPr>
        <w:spacing w:line="400" w:lineRule="exact"/>
        <w:ind w:firstLine="420" w:firstLineChars="200"/>
        <w:rPr>
          <w:rFonts w:ascii="Times New Roman" w:hAnsi="Times New Roman"/>
          <w:color w:val="000000"/>
        </w:rPr>
      </w:pPr>
      <w:r>
        <w:rPr>
          <w:rFonts w:ascii="Times New Roman" w:hAnsi="Times New Roman"/>
          <w:color w:val="000000"/>
        </w:rPr>
        <w:t>（4）</w:t>
      </w:r>
      <w:r>
        <w:rPr>
          <w:rFonts w:hint="eastAsia" w:ascii="Times New Roman" w:hAnsi="Times New Roman"/>
          <w:color w:val="000000"/>
        </w:rPr>
        <w:t>如果</w:t>
      </w:r>
      <w:r>
        <w:rPr>
          <w:rFonts w:ascii="Times New Roman" w:hAnsi="Times New Roman"/>
          <w:color w:val="000000"/>
        </w:rPr>
        <w:t>分项报价中存在缺漏项，则视为缺漏项价格已包含在其他分项报价之中。</w:t>
      </w:r>
    </w:p>
    <w:p>
      <w:pPr>
        <w:pStyle w:val="4"/>
        <w:spacing w:line="240" w:lineRule="auto"/>
        <w:ind w:firstLine="137"/>
        <w:rPr>
          <w:rFonts w:ascii="Times New Roman" w:hAnsi="Times New Roman"/>
          <w:color w:val="000000"/>
        </w:rPr>
      </w:pPr>
      <w:bookmarkStart w:id="354" w:name="_Toc1894"/>
      <w:r>
        <w:rPr>
          <w:rFonts w:ascii="Times New Roman" w:hAnsi="Times New Roman"/>
          <w:color w:val="000000"/>
        </w:rPr>
        <w:t>3.2 详细评审</w:t>
      </w:r>
      <w:bookmarkEnd w:id="354"/>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55" w:name="_Toc144974571"/>
      <w:bookmarkStart w:id="356" w:name="_Toc300835014"/>
      <w:bookmarkStart w:id="357" w:name="_Toc152042381"/>
      <w:bookmarkStart w:id="358" w:name="_Toc361508652"/>
      <w:bookmarkStart w:id="359" w:name="_Toc369531583"/>
      <w:bookmarkStart w:id="360" w:name="_Toc24330"/>
      <w:bookmarkStart w:id="361" w:name="_Toc247527629"/>
      <w:bookmarkStart w:id="362" w:name="_Toc247514028"/>
      <w:bookmarkStart w:id="363" w:name="_Toc352691539"/>
      <w:bookmarkStart w:id="364" w:name="_Toc384308278"/>
      <w:bookmarkStart w:id="365" w:name="_Toc152045604"/>
      <w:r>
        <w:rPr>
          <w:rFonts w:ascii="Times New Roman" w:hAnsi="Times New Roman"/>
          <w:color w:val="000000"/>
        </w:rPr>
        <w:t>分值对</w:t>
      </w:r>
      <w:bookmarkEnd w:id="355"/>
      <w:bookmarkEnd w:id="356"/>
      <w:bookmarkEnd w:id="357"/>
      <w:bookmarkEnd w:id="358"/>
      <w:bookmarkEnd w:id="359"/>
      <w:bookmarkEnd w:id="360"/>
      <w:bookmarkEnd w:id="361"/>
      <w:bookmarkEnd w:id="362"/>
      <w:bookmarkEnd w:id="363"/>
      <w:bookmarkEnd w:id="364"/>
      <w:bookmarkEnd w:id="365"/>
      <w:r>
        <w:rPr>
          <w:rFonts w:hint="eastAsia" w:ascii="Times New Roman" w:hAnsi="Times New Roman"/>
          <w:color w:val="000000"/>
          <w:lang w:val="en-US" w:eastAsia="zh-CN"/>
        </w:rPr>
        <w:t>经济标</w:t>
      </w:r>
      <w:r>
        <w:rPr>
          <w:rFonts w:ascii="Times New Roman" w:hAnsi="Times New Roman"/>
          <w:color w:val="000000"/>
        </w:rPr>
        <w:t>计</w:t>
      </w:r>
      <w:bookmarkStart w:id="366" w:name="_Toc152045605"/>
      <w:bookmarkStart w:id="367" w:name="_Toc361508653"/>
      <w:bookmarkStart w:id="368" w:name="_Toc144974572"/>
      <w:bookmarkStart w:id="369" w:name="_Toc152042382"/>
      <w:bookmarkStart w:id="370" w:name="_Toc384308279"/>
      <w:bookmarkStart w:id="371" w:name="_Toc369531584"/>
      <w:bookmarkStart w:id="372" w:name="_Toc300835015"/>
      <w:bookmarkStart w:id="373" w:name="_Toc18141"/>
      <w:bookmarkStart w:id="374" w:name="_Toc247527630"/>
      <w:bookmarkStart w:id="375" w:name="_Toc247514029"/>
      <w:bookmarkStart w:id="376" w:name="_Toc352691540"/>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hint="default" w:ascii="Times New Roman" w:hAnsi="Times New Roman" w:eastAsia="宋体"/>
          <w:color w:val="000000"/>
          <w:lang w:val="en-US" w:eastAsia="zh-CN"/>
        </w:rPr>
      </w:pPr>
      <w:r>
        <w:rPr>
          <w:rFonts w:hint="eastAsia" w:ascii="Times New Roman" w:hAnsi="Times New Roman"/>
          <w:color w:val="000000"/>
          <w:highlight w:val="yellow"/>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77" w:name="_Toc31573"/>
      <w:r>
        <w:rPr>
          <w:rFonts w:ascii="Times New Roman" w:hAnsi="Times New Roman"/>
          <w:color w:val="000000"/>
        </w:rPr>
        <w:t>3.3 投标文件的澄清</w:t>
      </w:r>
      <w:bookmarkEnd w:id="377"/>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78" w:name="_Toc28897"/>
      <w:r>
        <w:rPr>
          <w:rFonts w:ascii="Times New Roman" w:hAnsi="Times New Roman"/>
          <w:color w:val="000000"/>
        </w:rPr>
        <w:t>3.4 评标结果</w:t>
      </w:r>
      <w:bookmarkEnd w:id="378"/>
    </w:p>
    <w:p>
      <w:pPr>
        <w:spacing w:line="400" w:lineRule="exact"/>
        <w:ind w:firstLine="420" w:firstLineChars="200"/>
        <w:rPr>
          <w:rFonts w:ascii="Times New Roman" w:hAnsi="Times New Roman"/>
          <w:color w:val="000000"/>
        </w:rPr>
      </w:pPr>
      <w:r>
        <w:rPr>
          <w:rFonts w:ascii="Times New Roman" w:hAnsi="Times New Roman"/>
          <w:color w:val="000000"/>
        </w:rPr>
        <w:t>3.4.1 除第二章“投标人须知”前附表授权直接确定中标人外，评标委员会按照得分由高到低的顺序推荐中标候选人，并标明排序。</w:t>
      </w:r>
    </w:p>
    <w:p>
      <w:pPr>
        <w:spacing w:line="400" w:lineRule="exact"/>
        <w:ind w:firstLine="420" w:firstLineChars="200"/>
        <w:rPr>
          <w:rFonts w:hint="default" w:ascii="Times New Roman" w:hAnsi="Times New Roman" w:eastAsia="宋体"/>
          <w:color w:val="000000"/>
          <w:lang w:val="en-US" w:eastAsia="zh-CN"/>
        </w:rPr>
      </w:pPr>
      <w:r>
        <w:rPr>
          <w:rFonts w:ascii="Times New Roman" w:hAnsi="Times New Roman"/>
          <w:color w:val="000000"/>
        </w:rPr>
        <w:t>3.4.2 评标委员会完成评标后，应当向招标人提交书面评标报告和</w:t>
      </w:r>
      <w:r>
        <w:rPr>
          <w:rFonts w:hint="eastAsia"/>
          <w:highlight w:val="yellow"/>
          <w:lang w:val="en-US" w:eastAsia="zh-CN"/>
        </w:rPr>
        <w:t>按照不见面开标时唱标页面排序的中标候选人名单。</w:t>
      </w:r>
    </w:p>
    <w:p>
      <w:pPr>
        <w:spacing w:line="400" w:lineRule="exact"/>
        <w:rPr>
          <w:rFonts w:ascii="Times New Roman" w:hAnsi="Times New Roman"/>
          <w:color w:val="000000"/>
        </w:rPr>
      </w:pPr>
      <w:r>
        <w:rPr>
          <w:color w:val="000000"/>
        </w:rPr>
        <w:br w:type="page"/>
      </w:r>
    </w:p>
    <w:p>
      <w:pPr>
        <w:pStyle w:val="2"/>
        <w:keepNext/>
        <w:keepLines/>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color w:val="000000"/>
          <w:lang w:val="en-US" w:eastAsia="zh-CN"/>
        </w:rPr>
      </w:pPr>
      <w:bookmarkStart w:id="379" w:name="_Toc25766"/>
      <w:bookmarkStart w:id="380" w:name="_Toc27966"/>
      <w:r>
        <w:rPr>
          <w:rFonts w:hint="eastAsia"/>
          <w:color w:val="000000"/>
        </w:rPr>
        <w:t xml:space="preserve">第四章  </w:t>
      </w:r>
      <w:r>
        <w:rPr>
          <w:rFonts w:hint="eastAsia"/>
          <w:color w:val="000000"/>
          <w:lang w:val="en-US" w:eastAsia="zh-CN"/>
        </w:rPr>
        <w:t>定标办法</w:t>
      </w:r>
      <w:bookmarkEnd w:id="379"/>
      <w:bookmarkEnd w:id="380"/>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黑体" w:hAnsi="宋体" w:eastAsia="黑体"/>
          <w:sz w:val="24"/>
          <w:szCs w:val="24"/>
        </w:rPr>
      </w:pPr>
      <w:bookmarkStart w:id="381" w:name="_Toc29386"/>
      <w:bookmarkStart w:id="382" w:name="_Toc4652"/>
      <w:r>
        <w:rPr>
          <w:rFonts w:hint="eastAsia" w:ascii="黑体" w:hAnsi="宋体" w:eastAsia="黑体"/>
          <w:sz w:val="24"/>
          <w:szCs w:val="24"/>
          <w:lang w:val="en-US" w:eastAsia="zh-CN"/>
        </w:rPr>
        <w:t>定</w:t>
      </w:r>
      <w:r>
        <w:rPr>
          <w:rFonts w:hint="eastAsia" w:ascii="黑体" w:hAnsi="宋体" w:eastAsia="黑体"/>
          <w:sz w:val="24"/>
          <w:szCs w:val="24"/>
        </w:rPr>
        <w:t>标办法前附表</w:t>
      </w:r>
      <w:bookmarkEnd w:id="381"/>
      <w:bookmarkEnd w:id="382"/>
    </w:p>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1536"/>
        <w:gridCol w:w="2234"/>
        <w:gridCol w:w="4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eastAsia" w:ascii="宋体" w:hAnsi="宋体"/>
                <w:szCs w:val="21"/>
              </w:rPr>
            </w:pPr>
            <w:r>
              <w:rPr>
                <w:rFonts w:hint="eastAsia" w:ascii="宋体" w:hAnsi="宋体"/>
                <w:szCs w:val="21"/>
              </w:rPr>
              <w:t>条款号</w:t>
            </w:r>
          </w:p>
        </w:tc>
        <w:tc>
          <w:tcPr>
            <w:tcW w:w="223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因素</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lang w:val="en-US" w:eastAsia="zh-CN"/>
              </w:rPr>
              <w:t>定标</w:t>
            </w:r>
            <w:r>
              <w:rPr>
                <w:rFonts w:hint="eastAsia" w:ascii="宋体" w:hAnsi="宋体"/>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1</w:t>
            </w: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szCs w:val="21"/>
                <w:lang w:val="en-US" w:eastAsia="zh-CN"/>
              </w:rPr>
              <w:t>定标办法</w:t>
            </w:r>
          </w:p>
        </w:tc>
        <w:tc>
          <w:tcPr>
            <w:tcW w:w="4264" w:type="dxa"/>
            <w:noWrap w:val="0"/>
            <w:vAlign w:val="center"/>
          </w:tcPr>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本项目采用定标办法为：</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票决定标法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投票计分</w:t>
            </w:r>
            <w:r>
              <w:rPr>
                <w:rFonts w:hint="eastAsia" w:ascii="宋体" w:hAnsi="宋体" w:eastAsia="宋体" w:cs="Times New Roman"/>
                <w:szCs w:val="21"/>
                <w:lang w:val="en-US" w:eastAsia="zh-CN"/>
              </w:rPr>
              <w:t>法</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集体议事</w:t>
            </w:r>
            <w:r>
              <w:rPr>
                <w:rFonts w:hint="eastAsia" w:ascii="宋体" w:hAnsi="宋体" w:eastAsia="宋体" w:cs="Times New Roman"/>
                <w:szCs w:val="21"/>
                <w:lang w:val="en-US" w:eastAsia="zh-CN"/>
              </w:rPr>
              <w:t>法</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cs="Times New Roman"/>
                <w:szCs w:val="21"/>
                <w:lang w:val="en-US" w:eastAsia="zh-CN"/>
              </w:rPr>
              <w:t>招标人确定的</w:t>
            </w:r>
            <w:r>
              <w:rPr>
                <w:rFonts w:hint="eastAsia" w:ascii="宋体" w:hAnsi="宋体" w:eastAsia="宋体" w:cs="Times New Roman"/>
                <w:szCs w:val="21"/>
                <w:lang w:val="en-US" w:eastAsia="zh-CN"/>
              </w:rPr>
              <w:t>其他定标办法</w:t>
            </w:r>
            <w:r>
              <w:rPr>
                <w:rFonts w:hint="eastAsia" w:ascii="宋体" w:hAnsi="宋体" w:cs="Times New Roman"/>
                <w:szCs w:val="21"/>
                <w:lang w:val="en-US" w:eastAsia="zh-CN"/>
              </w:rPr>
              <w:t>：</w:t>
            </w:r>
            <w:r>
              <w:rPr>
                <w:rFonts w:hint="eastAsia" w:ascii="宋体" w:hAnsi="宋体" w:eastAsia="宋体" w:cs="Times New Roman"/>
                <w:szCs w:val="21"/>
                <w:u w:val="single"/>
                <w:lang w:val="en-US" w:eastAsia="zh-CN"/>
              </w:rPr>
              <w:t xml:space="preserve">          </w:t>
            </w:r>
            <w:r>
              <w:rPr>
                <w:rFonts w:hint="eastAsia" w:ascii="宋体" w:hAnsi="宋体" w:cs="Times New Roman"/>
                <w:szCs w:val="21"/>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2</w:t>
            </w:r>
          </w:p>
        </w:tc>
        <w:tc>
          <w:tcPr>
            <w:tcW w:w="2234" w:type="dxa"/>
            <w:noWrap w:val="0"/>
            <w:vAlign w:val="center"/>
          </w:tcPr>
          <w:p>
            <w:pPr>
              <w:spacing w:line="240" w:lineRule="auto"/>
              <w:jc w:val="left"/>
              <w:rPr>
                <w:rFonts w:hint="eastAsia" w:ascii="宋体" w:hAnsi="宋体"/>
                <w:szCs w:val="21"/>
                <w:lang w:val="en-US" w:eastAsia="zh-CN"/>
              </w:rPr>
            </w:pPr>
            <w:r>
              <w:rPr>
                <w:rFonts w:hint="eastAsia" w:ascii="宋体" w:hAnsi="宋体" w:eastAsia="宋体" w:cs="宋体"/>
                <w:sz w:val="21"/>
                <w:szCs w:val="21"/>
                <w:lang w:val="en-US" w:eastAsia="zh-CN"/>
              </w:rPr>
              <w:t>本次是否进行考察、质询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dxa"/>
            <w:gridSpan w:val="2"/>
            <w:noWrap w:val="0"/>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2234" w:type="dxa"/>
            <w:noWrap w:val="0"/>
            <w:vAlign w:val="center"/>
          </w:tcPr>
          <w:p>
            <w:pPr>
              <w:spacing w:line="240" w:lineRule="auto"/>
              <w:rPr>
                <w:rFonts w:hint="default" w:ascii="宋体" w:hAnsi="宋体"/>
                <w:szCs w:val="21"/>
                <w:lang w:val="en-US" w:eastAsia="zh-CN"/>
              </w:rPr>
            </w:pPr>
            <w:r>
              <w:rPr>
                <w:rFonts w:hint="eastAsia" w:ascii="宋体" w:hAnsi="宋体" w:eastAsia="宋体" w:cs="宋体"/>
                <w:sz w:val="21"/>
                <w:szCs w:val="21"/>
                <w:lang w:val="en-US" w:eastAsia="zh-CN"/>
              </w:rPr>
              <w:t>本次是否向相关行政管理部门进行</w:t>
            </w:r>
            <w:r>
              <w:rPr>
                <w:rFonts w:hint="eastAsia" w:ascii="宋体" w:hAnsi="宋体"/>
                <w:szCs w:val="21"/>
                <w:lang w:val="en-US" w:eastAsia="zh-CN"/>
              </w:rPr>
              <w:t>函询</w:t>
            </w:r>
          </w:p>
        </w:tc>
        <w:tc>
          <w:tcPr>
            <w:tcW w:w="4264" w:type="dxa"/>
            <w:noWrap w:val="0"/>
            <w:vAlign w:val="center"/>
          </w:tcPr>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A8"/>
            </w:r>
            <w:r>
              <w:rPr>
                <w:rFonts w:hint="eastAsia" w:ascii="宋体" w:hAnsi="宋体" w:eastAsia="宋体" w:cs="Times New Roman"/>
                <w:szCs w:val="21"/>
                <w:lang w:val="en-US" w:eastAsia="zh-CN"/>
              </w:rPr>
              <w:t>是</w:t>
            </w:r>
          </w:p>
          <w:p>
            <w:pPr>
              <w:spacing w:line="360" w:lineRule="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sym w:font="Wingdings" w:char="00FE"/>
            </w:r>
            <w:r>
              <w:rPr>
                <w:rFonts w:hint="eastAsia" w:ascii="宋体" w:hAnsi="宋体" w:eastAsia="宋体" w:cs="Times New Roman"/>
                <w:szCs w:val="21"/>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restart"/>
            <w:noWrap w:val="0"/>
            <w:vAlign w:val="center"/>
          </w:tcPr>
          <w:p>
            <w:pPr>
              <w:spacing w:line="360" w:lineRule="auto"/>
              <w:jc w:val="center"/>
              <w:rPr>
                <w:rFonts w:hint="eastAsia" w:ascii="宋体" w:hAnsi="宋体" w:eastAsia="宋体"/>
                <w:szCs w:val="21"/>
                <w:lang w:eastAsia="zh-CN"/>
              </w:rPr>
            </w:pPr>
            <w:r>
              <w:rPr>
                <w:rFonts w:hint="eastAsia" w:ascii="宋体" w:hAnsi="宋体"/>
                <w:szCs w:val="21"/>
                <w:lang w:val="en-US" w:eastAsia="zh-CN"/>
              </w:rPr>
              <w:t>4</w:t>
            </w:r>
          </w:p>
        </w:tc>
        <w:tc>
          <w:tcPr>
            <w:tcW w:w="1536" w:type="dxa"/>
            <w:vMerge w:val="restart"/>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定标择优因素</w:t>
            </w: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综合报价</w:t>
            </w:r>
          </w:p>
        </w:tc>
        <w:tc>
          <w:tcPr>
            <w:tcW w:w="4264" w:type="dxa"/>
            <w:noWrap w:val="0"/>
            <w:vAlign w:val="center"/>
          </w:tcPr>
          <w:p>
            <w:pPr>
              <w:spacing w:line="360" w:lineRule="auto"/>
              <w:jc w:val="center"/>
              <w:rPr>
                <w:rFonts w:hint="default" w:ascii="宋体" w:hAnsi="宋体" w:eastAsia="宋体"/>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color w:val="auto"/>
                <w:szCs w:val="21"/>
                <w:lang w:val="en-US" w:eastAsia="zh-CN"/>
              </w:rPr>
              <w:t>工程量清单中核心参数报价</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szCs w:val="21"/>
                <w:lang w:val="en-US" w:eastAsia="zh-CN"/>
              </w:rPr>
            </w:pPr>
            <w:r>
              <w:rPr>
                <w:rFonts w:hint="eastAsia" w:ascii="宋体" w:hAnsi="宋体" w:eastAsia="宋体" w:cs="Times New Roman"/>
                <w:szCs w:val="21"/>
                <w:lang w:val="en-US" w:eastAsia="zh-CN"/>
              </w:rPr>
              <w:t>企业综合实力</w:t>
            </w:r>
          </w:p>
        </w:tc>
        <w:tc>
          <w:tcPr>
            <w:tcW w:w="4264" w:type="dxa"/>
            <w:noWrap w:val="0"/>
            <w:vAlign w:val="center"/>
          </w:tcPr>
          <w:p>
            <w:pPr>
              <w:spacing w:line="360" w:lineRule="auto"/>
              <w:jc w:val="center"/>
              <w:rPr>
                <w:rFonts w:hint="eastAsia"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信用评价</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履约情况</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企业过往业绩</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服务能力</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eastAsia" w:ascii="宋体" w:hAnsi="宋体"/>
                <w:szCs w:val="21"/>
                <w:lang w:val="en-US" w:eastAsia="zh-CN"/>
              </w:rPr>
            </w:pPr>
            <w:r>
              <w:rPr>
                <w:rFonts w:hint="eastAsia" w:ascii="宋体" w:hAnsi="宋体" w:eastAsia="宋体" w:cs="Times New Roman"/>
                <w:szCs w:val="21"/>
                <w:lang w:val="en-US" w:eastAsia="zh-CN"/>
              </w:rPr>
              <w:t>技术方案</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91" w:type="dxa"/>
            <w:vMerge w:val="continue"/>
            <w:noWrap w:val="0"/>
            <w:vAlign w:val="center"/>
          </w:tcPr>
          <w:p>
            <w:pPr>
              <w:spacing w:line="360" w:lineRule="auto"/>
              <w:jc w:val="center"/>
              <w:rPr>
                <w:rFonts w:hint="eastAsia" w:ascii="宋体" w:hAnsi="宋体"/>
                <w:szCs w:val="21"/>
              </w:rPr>
            </w:pPr>
          </w:p>
        </w:tc>
        <w:tc>
          <w:tcPr>
            <w:tcW w:w="1536" w:type="dxa"/>
            <w:vMerge w:val="continue"/>
            <w:noWrap w:val="0"/>
            <w:vAlign w:val="center"/>
          </w:tcPr>
          <w:p>
            <w:pPr>
              <w:spacing w:line="360" w:lineRule="auto"/>
              <w:jc w:val="center"/>
              <w:rPr>
                <w:rFonts w:hint="eastAsia" w:ascii="宋体" w:hAnsi="宋体"/>
                <w:szCs w:val="21"/>
              </w:rPr>
            </w:pPr>
          </w:p>
        </w:tc>
        <w:tc>
          <w:tcPr>
            <w:tcW w:w="2234" w:type="dxa"/>
            <w:noWrap w:val="0"/>
            <w:vAlign w:val="center"/>
          </w:tcPr>
          <w:p>
            <w:pPr>
              <w:spacing w:line="240" w:lineRule="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其他因素</w:t>
            </w:r>
          </w:p>
        </w:tc>
        <w:tc>
          <w:tcPr>
            <w:tcW w:w="4264" w:type="dxa"/>
            <w:noWrap w:val="0"/>
            <w:vAlign w:val="center"/>
          </w:tcPr>
          <w:p>
            <w:pPr>
              <w:spacing w:line="360" w:lineRule="auto"/>
              <w:jc w:val="center"/>
              <w:rPr>
                <w:rFonts w:hint="eastAsia" w:ascii="宋体" w:hAnsi="宋体" w:eastAsia="宋体" w:cs="Times New Roman"/>
                <w:szCs w:val="21"/>
                <w:lang w:val="en-US" w:eastAsia="zh-CN"/>
              </w:rPr>
            </w:pPr>
            <w:r>
              <w:rPr>
                <w:rFonts w:hint="eastAsia" w:ascii="宋体" w:hAnsi="宋体"/>
                <w:szCs w:val="21"/>
              </w:rPr>
              <w:t>……</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outlineLvl w:val="9"/>
        <w:rPr>
          <w:rFonts w:hint="eastAsia" w:ascii="黑体" w:hAnsi="黑体" w:eastAsia="黑体" w:cs="黑体"/>
          <w:color w:val="auto"/>
          <w:sz w:val="24"/>
          <w:szCs w:val="24"/>
        </w:rPr>
      </w:pPr>
      <w:r>
        <w:rPr>
          <w:rFonts w:hint="eastAsia" w:ascii="黑体" w:hAnsi="宋体" w:eastAsia="黑体" w:cs="Times New Roman"/>
          <w:sz w:val="24"/>
          <w:szCs w:val="24"/>
          <w:lang w:val="en-US" w:eastAsia="zh-CN"/>
        </w:rPr>
        <w:br w:type="page"/>
      </w:r>
      <w:r>
        <w:rPr>
          <w:rFonts w:hint="eastAsia" w:ascii="黑体" w:hAnsi="宋体" w:eastAsia="黑体" w:cs="Times New Roman"/>
          <w:color w:val="auto"/>
          <w:sz w:val="24"/>
          <w:szCs w:val="24"/>
          <w:lang w:val="en-US" w:eastAsia="zh-CN"/>
        </w:rPr>
        <w:t>定</w:t>
      </w:r>
      <w:r>
        <w:rPr>
          <w:rFonts w:hint="eastAsia" w:ascii="黑体" w:hAnsi="黑体" w:eastAsia="黑体" w:cs="黑体"/>
          <w:color w:val="auto"/>
          <w:sz w:val="24"/>
          <w:szCs w:val="24"/>
        </w:rPr>
        <w:t>标办法正文部分</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83" w:name="_Toc3889"/>
      <w:bookmarkStart w:id="384" w:name="_Toc6136"/>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(票决定标法)</w:t>
      </w:r>
      <w:bookmarkEnd w:id="383"/>
      <w:bookmarkEnd w:id="384"/>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定标委员会成员根据定标因素对各中标候选人进行比较，通过票决确定中标人，各成员须书面说明投票理由。</w:t>
      </w:r>
    </w:p>
    <w:p>
      <w:pPr>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招标人组建的定标委员会在进入投票范围的中标候选人中，以每人投票支持一个中标候选人的方式，得票最多且过半数的中标候选人为中标人。如遇中标候选人得分相同不能一次产生符合条件的中标人，则进行多轮票决，当投标人出现同票影响定标结果时，得票相同者按以下方式选择下一轮投票对象（由招标人在招标文件中事先载明）：（1）评审得分高者；（2）报价低者（报价相同时选择评审得分高者）；（3）由招标人法定代表人或其委托代表直接确定。直至确定一名中标候选人为中标人。</w:t>
      </w:r>
    </w:p>
    <w:p>
      <w:pPr>
        <w:pageBreakBefore w:val="0"/>
        <w:widowControl w:val="0"/>
        <w:numPr>
          <w:ilvl w:val="0"/>
          <w:numId w:val="1"/>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85" w:name="_Toc21969"/>
      <w:bookmarkStart w:id="386" w:name="_Toc28007"/>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投票计分</w:t>
      </w:r>
      <w:r>
        <w:rPr>
          <w:rFonts w:hint="eastAsia" w:ascii="黑体" w:hAnsi="黑体" w:eastAsia="黑体" w:cs="黑体"/>
          <w:color w:val="auto"/>
          <w:sz w:val="24"/>
          <w:szCs w:val="24"/>
        </w:rPr>
        <w:t>法)</w:t>
      </w:r>
      <w:bookmarkEnd w:id="385"/>
      <w:bookmarkEnd w:id="386"/>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各定标委员会成员对所有进入定标程序的中标候选人择优排序进行打分，最优的N分，其次N-1分，依此类推（N用于定标时一般不超过5，排名第N以后的得0分），总分排名第一的确定为中标人。</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应在招标文件中事先载明，得分相同且影响确定中标人的，可由定标委员会对得总分相同的单位进行再次票决确定排名。也可按照如下方式选择：（1）评审得分高者；（2）报价低者（报价相同时选择评审得分高者）；（3）由招标人法定代表人或其委托代表直接确定1个中标候选人作为中标人。</w:t>
      </w:r>
    </w:p>
    <w:p>
      <w:pPr>
        <w:pageBreakBefore w:val="0"/>
        <w:widowControl w:val="0"/>
        <w:numPr>
          <w:ilvl w:val="0"/>
          <w:numId w:val="2"/>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color w:val="auto"/>
          <w:sz w:val="24"/>
          <w:szCs w:val="24"/>
        </w:rPr>
      </w:pPr>
      <w:bookmarkStart w:id="387" w:name="_Toc32650"/>
      <w:bookmarkStart w:id="388" w:name="_Toc18661"/>
      <w:r>
        <w:rPr>
          <w:rFonts w:hint="eastAsia" w:ascii="黑体" w:hAnsi="黑体" w:eastAsia="黑体" w:cs="黑体"/>
          <w:b w:val="0"/>
          <w:bCs w:val="0"/>
          <w:color w:val="auto"/>
          <w:kern w:val="2"/>
          <w:sz w:val="24"/>
          <w:szCs w:val="24"/>
          <w:lang w:val="en-US" w:eastAsia="zh-CN" w:bidi="ar-SA"/>
        </w:rPr>
        <w:t>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集体议事</w:t>
      </w:r>
      <w:r>
        <w:rPr>
          <w:rFonts w:hint="eastAsia" w:ascii="黑体" w:hAnsi="黑体" w:eastAsia="黑体" w:cs="黑体"/>
          <w:color w:val="auto"/>
          <w:sz w:val="24"/>
          <w:szCs w:val="24"/>
        </w:rPr>
        <w:t>法)</w:t>
      </w:r>
      <w:bookmarkEnd w:id="387"/>
      <w:bookmarkEnd w:id="388"/>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由招标人法定代表人或者主要负责人担任定标委员会组长，组建定标委员会进行集体商议，定标委员会成员各自发表意见，最终由定标委员会组长确定中标人。集体议事法应当在招标文件中明确议事规则。</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color w:val="auto"/>
          <w:kern w:val="2"/>
          <w:sz w:val="24"/>
          <w:szCs w:val="24"/>
          <w:lang w:val="en-US" w:eastAsia="zh-CN" w:bidi="ar-SA"/>
        </w:rPr>
      </w:pPr>
      <w:bookmarkStart w:id="389" w:name="_Toc22083"/>
      <w:bookmarkStart w:id="390" w:name="_Toc12854"/>
      <w:r>
        <w:rPr>
          <w:rFonts w:hint="eastAsia" w:ascii="黑体" w:hAnsi="黑体" w:eastAsia="黑体" w:cs="黑体"/>
          <w:b w:val="0"/>
          <w:bCs w:val="0"/>
          <w:color w:val="auto"/>
          <w:kern w:val="2"/>
          <w:sz w:val="24"/>
          <w:szCs w:val="24"/>
          <w:lang w:val="en-US" w:eastAsia="zh-CN" w:bidi="ar-SA"/>
        </w:rPr>
        <w:t>1.定标方法</w:t>
      </w:r>
      <w:r>
        <w:rPr>
          <w:rFonts w:hint="eastAsia" w:ascii="黑体" w:hAnsi="黑体" w:eastAsia="黑体" w:cs="黑体"/>
          <w:color w:val="auto"/>
          <w:sz w:val="24"/>
          <w:szCs w:val="24"/>
        </w:rPr>
        <w:t>(</w:t>
      </w:r>
      <w:r>
        <w:rPr>
          <w:rFonts w:hint="eastAsia" w:ascii="黑体" w:hAnsi="黑体" w:eastAsia="黑体" w:cs="黑体"/>
          <w:color w:val="auto"/>
          <w:sz w:val="24"/>
          <w:szCs w:val="24"/>
          <w:lang w:val="en-US" w:eastAsia="zh-CN"/>
        </w:rPr>
        <w:t>招标人确定的其他方</w:t>
      </w:r>
      <w:r>
        <w:rPr>
          <w:rFonts w:hint="eastAsia" w:ascii="黑体" w:hAnsi="黑体" w:eastAsia="黑体" w:cs="黑体"/>
          <w:color w:val="auto"/>
          <w:sz w:val="24"/>
          <w:szCs w:val="24"/>
        </w:rPr>
        <w:t>法)</w:t>
      </w:r>
      <w:bookmarkEnd w:id="389"/>
      <w:bookmarkEnd w:id="390"/>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招标人在招标文件中载明，招标人自行制定的其他科学合理定标方法，应明确定标择优因素和评价标准或优劣相对标准。</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u w:val="single"/>
          <w:lang w:val="en-US" w:eastAsia="zh-CN"/>
        </w:rPr>
        <w:t xml:space="preserve">                                                            </w:t>
      </w:r>
      <w:r>
        <w:rPr>
          <w:rFonts w:hint="eastAsia"/>
          <w:lang w:val="en-US" w:eastAsia="zh-CN"/>
        </w:rPr>
        <w:t>。</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default" w:ascii="黑体" w:hAnsi="黑体" w:eastAsia="黑体" w:cs="黑体"/>
          <w:b w:val="0"/>
          <w:bCs w:val="0"/>
          <w:kern w:val="2"/>
          <w:sz w:val="24"/>
          <w:szCs w:val="24"/>
          <w:lang w:val="en-US" w:eastAsia="zh-CN" w:bidi="ar-SA"/>
        </w:rPr>
      </w:pPr>
      <w:bookmarkStart w:id="391" w:name="_Toc7513"/>
      <w:bookmarkStart w:id="392" w:name="_Toc10323"/>
      <w:r>
        <w:rPr>
          <w:rFonts w:hint="eastAsia" w:ascii="黑体" w:hAnsi="黑体" w:eastAsia="黑体" w:cs="黑体"/>
          <w:b w:val="0"/>
          <w:bCs w:val="0"/>
          <w:kern w:val="2"/>
          <w:sz w:val="24"/>
          <w:szCs w:val="24"/>
          <w:lang w:val="en-US" w:eastAsia="zh-CN" w:bidi="ar-SA"/>
        </w:rPr>
        <w:t>2.定标标准</w:t>
      </w:r>
      <w:bookmarkEnd w:id="391"/>
      <w:bookmarkEnd w:id="392"/>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见定标办法前附表</w:t>
      </w:r>
    </w:p>
    <w:p>
      <w:pPr>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hint="eastAsia" w:ascii="黑体" w:hAnsi="黑体" w:eastAsia="黑体" w:cs="黑体"/>
          <w:b w:val="0"/>
          <w:bCs w:val="0"/>
          <w:kern w:val="2"/>
          <w:sz w:val="24"/>
          <w:szCs w:val="24"/>
          <w:lang w:val="en-US" w:eastAsia="zh-CN" w:bidi="ar-SA"/>
        </w:rPr>
      </w:pPr>
      <w:bookmarkStart w:id="393" w:name="_Toc20867"/>
      <w:bookmarkStart w:id="394" w:name="_Toc32636"/>
      <w:r>
        <w:rPr>
          <w:rFonts w:hint="eastAsia" w:ascii="黑体" w:hAnsi="黑体" w:eastAsia="黑体" w:cs="黑体"/>
          <w:b w:val="0"/>
          <w:bCs w:val="0"/>
          <w:kern w:val="2"/>
          <w:sz w:val="24"/>
          <w:szCs w:val="24"/>
          <w:lang w:val="en-US" w:eastAsia="zh-CN" w:bidi="ar-SA"/>
        </w:rPr>
        <w:t>3.定标程序</w:t>
      </w:r>
      <w:bookmarkEnd w:id="393"/>
      <w:bookmarkEnd w:id="394"/>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招标人应当在项目评审结束后</w:t>
      </w:r>
      <w:commentRangeStart w:id="8"/>
      <w:r>
        <w:rPr>
          <w:rFonts w:hint="eastAsia" w:ascii="宋体" w:hAnsi="宋体" w:eastAsia="宋体" w:cs="宋体"/>
          <w:sz w:val="21"/>
          <w:szCs w:val="21"/>
          <w:lang w:val="en-US" w:eastAsia="zh-CN"/>
        </w:rPr>
        <w:t>5日（含5日）内</w:t>
      </w:r>
      <w:commentRangeEnd w:id="8"/>
      <w:r>
        <w:commentReference w:id="8"/>
      </w:r>
      <w:r>
        <w:rPr>
          <w:rFonts w:hint="eastAsia" w:ascii="宋体" w:hAnsi="宋体" w:eastAsia="宋体" w:cs="宋体"/>
          <w:sz w:val="21"/>
          <w:szCs w:val="21"/>
          <w:lang w:val="en-US" w:eastAsia="zh-CN"/>
        </w:rPr>
        <w:t>，在市公共资源交易平台具备音频、视频监控设备的场所召开定标会议。如有特殊情况，定标会议时间可以适当推迟，招标人应在市公共资源交易平台公告延期原因和最终定标时间。</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考察、质询情况见定标办法前附表。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向相关行政管理部门函询情况见定标办法前附表。</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标会议应当全程录音录像，定标委员会严格按照招标文件规定从中标候选人中确定一名中标人。招标人应当做好定标环节相关准备，包括对定标规则的解析、定标资料的收集整理、定标档案的管理等。定标会议按以下程序进行：</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（一）市公共资源交易服务中心工作人员宣读《定标程序及须知》，定标成员签署承诺书；</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（二）招标人介绍项目基本情况、招标情况；</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（三）招标人介绍评审情况、专家评审意见及提醒注意事项等；</w:t>
      </w:r>
      <w:r>
        <w:rPr>
          <w:rFonts w:hint="eastAsia" w:ascii="宋体" w:hAnsi="宋体" w:eastAsia="宋体" w:cs="宋体"/>
          <w:sz w:val="21"/>
          <w:szCs w:val="21"/>
          <w:lang w:val="en-US" w:eastAsia="zh-CN"/>
        </w:rPr>
        <w:pict>
          <v:shape id="_x0000_s1026" o:spid="_x0000_s1026" o:spt="202" type="#_x0000_t202" style="position:absolute;left:0pt;margin-left:87pt;margin-top:658pt;height:16pt;width:106pt;mso-position-horizontal-relative:page;z-index:251659264;mso-width-relative:page;mso-height-relative:page;" filled="f" stroked="f" coordsize="21600,21600" o:gfxdata="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O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Zj1NfYAAAADQEAAA8AAAAAAAAA&#10;AQAgAAAAIgAAAGRycy9kb3ducmV2LnhtbFBLAQIUABQAAAAIAIdO4kB3rxMi2AEAAJ8DAAAOAAAA&#10;AAAAAAEAIAAAACcBAABkcnMvZTJvRG9jLnhtbFBLBQYAAAAABgAGAFkBAABxBQAAAAA=&#10;">
            <v:path/>
            <v:fill on="f" focussize="0,0"/>
            <v:stroke on="f" weight="0.5pt"/>
            <v:imagedata o:title=""/>
            <o:lock v:ext="edit" aspectratio="f"/>
            <v:textbox inset="2pt,0mm,2pt,0mm">
              <w:txbxContent>
                <w:p>
                  <w:pPr>
                    <w:spacing w:line="380" w:lineRule="exact"/>
                    <w:jc w:val="center"/>
                  </w:pPr>
                  <w:r>
                    <w:rPr>
                      <w:rFonts w:hint="eastAsia" w:ascii="Arial" w:hAnsi="Arial" w:eastAsia="Arial"/>
                      <w:color w:val="000000"/>
                      <w:sz w:val="20"/>
                    </w:rPr>
                    <w:t>8-</w:t>
                  </w:r>
                </w:p>
              </w:txbxContent>
            </v:textbox>
          </v:shape>
        </w:pic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（四）选择向相关部门函询或组织考察的，由招标人现场宣读函询报告或考察、质询报告；招标人结合函询结果和对中标候选人的考察、质询及相关资料，汇报各中标候选人的优势、不足、风险等；</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（五）定标委员会成员提问，相关人员解答；</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（六）定标委员会组织定标决策，确定中标人，非定标相关人员离场（不含监督小组等工作人员）；</w:t>
      </w: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（七）形成定标报告。</w:t>
      </w:r>
    </w:p>
    <w:p>
      <w:pPr>
        <w:spacing w:line="400" w:lineRule="exact"/>
        <w:ind w:firstLine="420" w:firstLineChars="200"/>
        <w:jc w:val="center"/>
        <w:rPr>
          <w:rFonts w:ascii="Times New Roman" w:hAnsi="Times New Roman"/>
          <w:color w:val="000000"/>
        </w:rPr>
      </w:pPr>
    </w:p>
    <w:p>
      <w:pPr>
        <w:pStyle w:val="2"/>
        <w:jc w:val="center"/>
        <w:rPr>
          <w:color w:val="000000"/>
        </w:rPr>
      </w:pPr>
      <w:r>
        <w:rPr>
          <w:color w:val="000000"/>
        </w:rPr>
        <w:br w:type="page"/>
      </w:r>
      <w:bookmarkStart w:id="395" w:name="_Toc5935"/>
      <w:r>
        <w:rPr>
          <w:color w:val="000000"/>
        </w:rPr>
        <w:t>第</w:t>
      </w:r>
      <w:r>
        <w:rPr>
          <w:rFonts w:hint="eastAsia"/>
          <w:color w:val="000000"/>
          <w:lang w:val="en-US" w:eastAsia="zh-CN"/>
        </w:rPr>
        <w:t>五</w:t>
      </w:r>
      <w:r>
        <w:rPr>
          <w:color w:val="000000"/>
        </w:rPr>
        <w:t>章合同条款及格式</w:t>
      </w:r>
      <w:bookmarkEnd w:id="395"/>
    </w:p>
    <w:p>
      <w:pPr>
        <w:jc w:val="center"/>
        <w:outlineLvl w:val="9"/>
        <w:rPr>
          <w:color w:val="000000"/>
        </w:rPr>
      </w:pPr>
      <w:r>
        <w:rPr>
          <w:color w:val="000000"/>
        </w:rPr>
        <w:br w:type="page"/>
      </w:r>
    </w:p>
    <w:p>
      <w:pPr>
        <w:pStyle w:val="3"/>
        <w:jc w:val="center"/>
        <w:rPr>
          <w:rFonts w:ascii="Times New Roman" w:hAnsi="Times New Roman"/>
          <w:color w:val="000000"/>
        </w:rPr>
      </w:pPr>
      <w:bookmarkStart w:id="396" w:name="_Toc25695"/>
      <w:r>
        <w:rPr>
          <w:rFonts w:ascii="Times New Roman" w:hAnsi="Times New Roman"/>
          <w:color w:val="000000"/>
        </w:rPr>
        <w:t>第一节通用合同条款</w:t>
      </w:r>
      <w:bookmarkEnd w:id="396"/>
    </w:p>
    <w:p>
      <w:pPr>
        <w:pStyle w:val="3"/>
        <w:ind w:firstLine="105"/>
        <w:rPr>
          <w:rFonts w:ascii="Times New Roman" w:hAnsi="Times New Roman"/>
          <w:bCs/>
          <w:szCs w:val="32"/>
        </w:rPr>
      </w:pPr>
      <w:bookmarkStart w:id="397" w:name="_Toc247514035"/>
      <w:bookmarkStart w:id="398" w:name="_Toc300835032"/>
      <w:bookmarkStart w:id="399" w:name="_Toc369531601"/>
      <w:bookmarkStart w:id="400" w:name="_Toc30942"/>
      <w:bookmarkStart w:id="401" w:name="_Toc5157"/>
      <w:bookmarkStart w:id="402" w:name="_Toc247527636"/>
      <w:r>
        <w:rPr>
          <w:rFonts w:ascii="Times New Roman" w:hAnsi="Times New Roman"/>
          <w:bCs/>
          <w:szCs w:val="32"/>
        </w:rPr>
        <w:t>1. 一般约定</w:t>
      </w:r>
      <w:bookmarkEnd w:id="397"/>
      <w:bookmarkEnd w:id="398"/>
      <w:bookmarkEnd w:id="399"/>
      <w:bookmarkEnd w:id="400"/>
      <w:bookmarkEnd w:id="401"/>
      <w:bookmarkEnd w:id="402"/>
    </w:p>
    <w:p>
      <w:pPr>
        <w:pStyle w:val="4"/>
        <w:spacing w:line="240" w:lineRule="auto"/>
        <w:ind w:firstLine="137"/>
        <w:rPr>
          <w:rFonts w:ascii="Times New Roman" w:hAnsi="Times New Roman"/>
          <w:color w:val="000000"/>
        </w:rPr>
      </w:pPr>
      <w:bookmarkStart w:id="403" w:name="_Toc246996255"/>
      <w:bookmarkStart w:id="404" w:name="_Toc3381"/>
      <w:bookmarkStart w:id="405" w:name="_Toc369531602"/>
      <w:bookmarkStart w:id="406" w:name="_Toc246996998"/>
      <w:bookmarkStart w:id="407" w:name="_Toc296602500"/>
      <w:bookmarkStart w:id="408" w:name="_Toc10499"/>
      <w:bookmarkStart w:id="409" w:name="_Toc247085770"/>
      <w:r>
        <w:rPr>
          <w:rFonts w:ascii="Times New Roman" w:hAnsi="Times New Roman"/>
          <w:color w:val="000000"/>
        </w:rPr>
        <w:t xml:space="preserve">1.1 </w:t>
      </w:r>
      <w:r>
        <w:rPr>
          <w:rFonts w:hint="eastAsia" w:ascii="Times New Roman" w:hAnsi="Times New Roman"/>
          <w:color w:val="000000"/>
        </w:rPr>
        <w:t>词语定义</w:t>
      </w:r>
      <w:bookmarkEnd w:id="403"/>
      <w:bookmarkEnd w:id="404"/>
      <w:bookmarkEnd w:id="405"/>
      <w:bookmarkEnd w:id="406"/>
      <w:bookmarkEnd w:id="407"/>
      <w:bookmarkEnd w:id="408"/>
      <w:bookmarkEnd w:id="409"/>
    </w:p>
    <w:p>
      <w:pPr>
        <w:spacing w:line="360" w:lineRule="auto"/>
        <w:ind w:firstLine="420" w:firstLineChars="200"/>
        <w:rPr>
          <w:rFonts w:ascii="Times New Roman" w:hAnsi="Times New Roman"/>
          <w:szCs w:val="21"/>
        </w:rPr>
      </w:pPr>
      <w:r>
        <w:rPr>
          <w:rFonts w:ascii="Times New Roman" w:hAnsi="Times New Roman"/>
          <w:szCs w:val="21"/>
        </w:rPr>
        <w:t>除专用合同条款另有约定外，合同中的下列词语应具有本款所赋予的含义。</w:t>
      </w:r>
    </w:p>
    <w:p>
      <w:pPr>
        <w:spacing w:line="360" w:lineRule="auto"/>
        <w:ind w:firstLine="422" w:firstLineChars="200"/>
        <w:rPr>
          <w:rFonts w:ascii="Times New Roman" w:hAnsi="Times New Roman"/>
          <w:b/>
        </w:rPr>
      </w:pPr>
      <w:r>
        <w:rPr>
          <w:rFonts w:ascii="Times New Roman" w:hAnsi="Times New Roman"/>
          <w:b/>
        </w:rPr>
        <w:t xml:space="preserve">1.1.1 </w:t>
      </w:r>
      <w:r>
        <w:rPr>
          <w:rFonts w:hint="eastAsia" w:ascii="Times New Roman" w:hAnsi="Times New Roman"/>
          <w:b/>
        </w:rPr>
        <w:t>合同</w:t>
      </w:r>
    </w:p>
    <w:p>
      <w:pPr>
        <w:spacing w:line="360" w:lineRule="auto"/>
        <w:ind w:firstLine="420" w:firstLineChars="200"/>
        <w:rPr>
          <w:rFonts w:ascii="Times New Roman" w:hAnsi="Times New Roman"/>
        </w:rPr>
      </w:pPr>
      <w:r>
        <w:rPr>
          <w:rFonts w:ascii="Times New Roman" w:hAnsi="Times New Roman"/>
        </w:rPr>
        <w:t xml:space="preserve">1.1.1.1 </w:t>
      </w:r>
      <w:r>
        <w:rPr>
          <w:rFonts w:hint="eastAsia" w:ascii="Times New Roman" w:hAnsi="Times New Roman"/>
        </w:rPr>
        <w:t>合同文件（或称合同）：指合同协议书、中标通知书、投标函、商务和技术偏差表、专用合同条款、通用合同条款、供货要求、分项报价表、</w:t>
      </w:r>
      <w:r>
        <w:rPr>
          <w:rFonts w:ascii="Times New Roman" w:hAnsi="Times New Roman"/>
        </w:rPr>
        <w:t>中标材料质量标准的详细描述</w:t>
      </w:r>
      <w:r>
        <w:rPr>
          <w:rFonts w:hint="eastAsia" w:ascii="Times New Roman" w:hAnsi="Times New Roman"/>
        </w:rPr>
        <w:t>、</w:t>
      </w:r>
      <w:r>
        <w:rPr>
          <w:rFonts w:ascii="Times New Roman" w:hAnsi="Times New Roman"/>
        </w:rPr>
        <w:t>相关服务计划</w:t>
      </w:r>
      <w:r>
        <w:rPr>
          <w:rFonts w:hint="eastAsia" w:ascii="Times New Roman" w:hAnsi="Times New Roman"/>
        </w:rPr>
        <w:t>，以及其他构成合同组成部分的文件。</w:t>
      </w:r>
    </w:p>
    <w:p>
      <w:pPr>
        <w:spacing w:line="360" w:lineRule="auto"/>
        <w:ind w:firstLine="420" w:firstLineChars="200"/>
        <w:rPr>
          <w:rFonts w:ascii="Times New Roman" w:hAnsi="Times New Roman"/>
        </w:rPr>
      </w:pPr>
      <w:r>
        <w:rPr>
          <w:rFonts w:ascii="Times New Roman" w:hAnsi="Times New Roman"/>
        </w:rPr>
        <w:t xml:space="preserve">1.1.1.2 </w:t>
      </w:r>
      <w:r>
        <w:rPr>
          <w:rFonts w:hint="eastAsia" w:ascii="Times New Roman" w:hAnsi="Times New Roman"/>
        </w:rPr>
        <w:t>合同协议书：指买方和卖方共同签署的合同协议书。</w:t>
      </w:r>
    </w:p>
    <w:p>
      <w:pPr>
        <w:spacing w:line="360" w:lineRule="auto"/>
        <w:ind w:firstLine="420" w:firstLineChars="200"/>
        <w:rPr>
          <w:rFonts w:ascii="Times New Roman" w:hAnsi="Times New Roman"/>
        </w:rPr>
      </w:pPr>
      <w:r>
        <w:rPr>
          <w:rFonts w:ascii="Times New Roman" w:hAnsi="Times New Roman"/>
        </w:rPr>
        <w:t xml:space="preserve">1.1.1.3 </w:t>
      </w:r>
      <w:r>
        <w:rPr>
          <w:rFonts w:hint="eastAsia" w:ascii="Times New Roman" w:hAnsi="Times New Roman"/>
        </w:rPr>
        <w:t>中标通知书：指买方通知卖方中标的函件。</w:t>
      </w:r>
    </w:p>
    <w:p>
      <w:pPr>
        <w:spacing w:line="360" w:lineRule="auto"/>
        <w:ind w:firstLine="420" w:firstLineChars="200"/>
        <w:rPr>
          <w:rFonts w:ascii="Times New Roman" w:hAnsi="Times New Roman"/>
        </w:rPr>
      </w:pPr>
      <w:r>
        <w:rPr>
          <w:rFonts w:ascii="Times New Roman" w:hAnsi="Times New Roman"/>
        </w:rPr>
        <w:t xml:space="preserve">1.1.1.4 </w:t>
      </w:r>
      <w:r>
        <w:rPr>
          <w:rFonts w:hint="eastAsia" w:ascii="Times New Roman" w:hAnsi="Times New Roman"/>
        </w:rPr>
        <w:t>投标函：指由卖方填写并签署的，名为“投标函”的函件。</w:t>
      </w:r>
    </w:p>
    <w:p>
      <w:pPr>
        <w:spacing w:line="360" w:lineRule="auto"/>
        <w:ind w:firstLine="420" w:firstLineChars="200"/>
        <w:rPr>
          <w:rFonts w:ascii="Times New Roman" w:hAnsi="Times New Roman"/>
        </w:rPr>
      </w:pPr>
      <w:r>
        <w:rPr>
          <w:rFonts w:ascii="Times New Roman" w:hAnsi="Times New Roman"/>
        </w:rPr>
        <w:t xml:space="preserve">1.1.1.5 </w:t>
      </w:r>
      <w:r>
        <w:rPr>
          <w:rFonts w:hint="eastAsia" w:ascii="Times New Roman" w:hAnsi="Times New Roman"/>
        </w:rPr>
        <w:t>商务和技术偏差表：指卖方投标文件中的商务和技术偏差表。</w:t>
      </w:r>
    </w:p>
    <w:p>
      <w:pPr>
        <w:spacing w:line="360" w:lineRule="auto"/>
        <w:ind w:firstLine="420" w:firstLineChars="200"/>
        <w:rPr>
          <w:rFonts w:ascii="Times New Roman" w:hAnsi="Times New Roman"/>
        </w:rPr>
      </w:pPr>
      <w:r>
        <w:rPr>
          <w:rFonts w:ascii="Times New Roman" w:hAnsi="Times New Roman"/>
        </w:rPr>
        <w:t xml:space="preserve">1.1.1.6 </w:t>
      </w:r>
      <w:r>
        <w:rPr>
          <w:rFonts w:hint="eastAsia" w:ascii="Times New Roman" w:hAnsi="Times New Roman"/>
        </w:rPr>
        <w:t>供货要求：指合同文件中名为“供货要求”的文件。</w:t>
      </w:r>
    </w:p>
    <w:p>
      <w:pPr>
        <w:spacing w:line="360" w:lineRule="auto"/>
        <w:ind w:firstLine="420" w:firstLineChars="200"/>
        <w:rPr>
          <w:rFonts w:ascii="Times New Roman" w:hAnsi="Times New Roman"/>
        </w:rPr>
      </w:pPr>
      <w:r>
        <w:rPr>
          <w:rFonts w:ascii="Times New Roman" w:hAnsi="Times New Roman"/>
        </w:rPr>
        <w:t xml:space="preserve">1.1.1.7 </w:t>
      </w:r>
      <w:r>
        <w:rPr>
          <w:rFonts w:hint="eastAsia" w:ascii="Times New Roman" w:hAnsi="Times New Roman"/>
        </w:rPr>
        <w:t>中标材料质量标准的详细描述：指卖方投标文件中的投标材料质量标准的详细描述。</w:t>
      </w:r>
    </w:p>
    <w:p>
      <w:pPr>
        <w:spacing w:line="360" w:lineRule="auto"/>
        <w:ind w:firstLine="420" w:firstLineChars="200"/>
        <w:rPr>
          <w:rFonts w:ascii="Times New Roman" w:hAnsi="Times New Roman"/>
        </w:rPr>
      </w:pPr>
      <w:r>
        <w:rPr>
          <w:rFonts w:ascii="Times New Roman" w:hAnsi="Times New Roman"/>
        </w:rPr>
        <w:t xml:space="preserve">1.1.1.8 </w:t>
      </w:r>
      <w:r>
        <w:rPr>
          <w:rFonts w:hint="eastAsia" w:ascii="Times New Roman" w:hAnsi="Times New Roman"/>
        </w:rPr>
        <w:t>相关服务计划：指卖方投标文件中的相关服务计划。</w:t>
      </w:r>
    </w:p>
    <w:p>
      <w:pPr>
        <w:spacing w:line="360" w:lineRule="auto"/>
        <w:ind w:firstLine="420" w:firstLineChars="200"/>
        <w:rPr>
          <w:rFonts w:ascii="Times New Roman" w:hAnsi="Times New Roman"/>
        </w:rPr>
      </w:pPr>
      <w:r>
        <w:rPr>
          <w:rFonts w:ascii="Times New Roman" w:hAnsi="Times New Roman"/>
        </w:rPr>
        <w:t xml:space="preserve">1.1.1.9 </w:t>
      </w:r>
      <w:r>
        <w:rPr>
          <w:rFonts w:hint="eastAsia" w:ascii="Times New Roman" w:hAnsi="Times New Roman"/>
        </w:rPr>
        <w:t>分项报价表：指卖方投标文件中的分项报价表。</w:t>
      </w:r>
    </w:p>
    <w:p>
      <w:pPr>
        <w:spacing w:line="360" w:lineRule="auto"/>
        <w:ind w:firstLine="420" w:firstLineChars="200"/>
        <w:rPr>
          <w:rFonts w:ascii="Times New Roman" w:hAnsi="Times New Roman"/>
        </w:rPr>
      </w:pPr>
      <w:r>
        <w:rPr>
          <w:rFonts w:ascii="Times New Roman" w:hAnsi="Times New Roman"/>
        </w:rPr>
        <w:t xml:space="preserve">1.1.1.10 </w:t>
      </w:r>
      <w:r>
        <w:rPr>
          <w:rFonts w:hint="eastAsia" w:ascii="Times New Roman" w:hAnsi="Times New Roman"/>
        </w:rPr>
        <w:t>其他合同文件：指经合同双方当事人确认构成合同文件的其他文件。</w:t>
      </w:r>
    </w:p>
    <w:p>
      <w:pPr>
        <w:spacing w:line="360" w:lineRule="auto"/>
        <w:ind w:firstLine="422" w:firstLineChars="200"/>
        <w:rPr>
          <w:rFonts w:ascii="Times New Roman" w:hAnsi="Times New Roman"/>
          <w:b/>
        </w:rPr>
      </w:pPr>
      <w:r>
        <w:rPr>
          <w:rFonts w:ascii="Times New Roman" w:hAnsi="Times New Roman"/>
          <w:b/>
        </w:rPr>
        <w:t xml:space="preserve">1.1.2 </w:t>
      </w:r>
      <w:r>
        <w:rPr>
          <w:rFonts w:hint="eastAsia" w:ascii="Times New Roman" w:hAnsi="Times New Roman"/>
          <w:b/>
        </w:rPr>
        <w:t>合同当事人</w:t>
      </w:r>
    </w:p>
    <w:p>
      <w:pPr>
        <w:spacing w:line="360" w:lineRule="auto"/>
        <w:ind w:firstLine="420" w:firstLineChars="200"/>
        <w:rPr>
          <w:rFonts w:ascii="Times New Roman" w:hAnsi="Times New Roman"/>
        </w:rPr>
      </w:pPr>
      <w:r>
        <w:rPr>
          <w:rFonts w:ascii="Times New Roman" w:hAnsi="Times New Roman"/>
        </w:rPr>
        <w:t xml:space="preserve">1.1.2.1 </w:t>
      </w:r>
      <w:r>
        <w:rPr>
          <w:rFonts w:hint="eastAsia" w:ascii="Times New Roman" w:hAnsi="Times New Roman"/>
        </w:rPr>
        <w:t>合同当事人：指买方和（或）卖方。</w:t>
      </w:r>
    </w:p>
    <w:p>
      <w:pPr>
        <w:spacing w:line="360" w:lineRule="auto"/>
        <w:ind w:firstLine="420" w:firstLineChars="200"/>
        <w:rPr>
          <w:rFonts w:ascii="Times New Roman" w:hAnsi="Times New Roman"/>
        </w:rPr>
      </w:pPr>
      <w:r>
        <w:rPr>
          <w:rFonts w:ascii="Times New Roman" w:hAnsi="Times New Roman"/>
        </w:rPr>
        <w:t xml:space="preserve">1.1.2.2 </w:t>
      </w:r>
      <w:r>
        <w:rPr>
          <w:rFonts w:hint="eastAsia" w:ascii="Times New Roman" w:hAnsi="Times New Roman"/>
        </w:rPr>
        <w:t>买方：指与卖方签订合同协议书，购买合同材料和相关服务的当事人，及其合法继承人。</w:t>
      </w:r>
    </w:p>
    <w:p>
      <w:pPr>
        <w:spacing w:line="360" w:lineRule="auto"/>
        <w:ind w:firstLine="420" w:firstLineChars="200"/>
        <w:rPr>
          <w:rFonts w:ascii="Times New Roman" w:hAnsi="Times New Roman"/>
        </w:rPr>
      </w:pPr>
      <w:r>
        <w:rPr>
          <w:rFonts w:ascii="Times New Roman" w:hAnsi="Times New Roman"/>
        </w:rPr>
        <w:t xml:space="preserve">1.1.2.3 </w:t>
      </w:r>
      <w:r>
        <w:rPr>
          <w:rFonts w:hint="eastAsia" w:ascii="Times New Roman" w:hAnsi="Times New Roman"/>
        </w:rPr>
        <w:t>卖方：指与买方签订合同协议书，提供合同材料和相关服务的当事人，及其合法继承人。</w:t>
      </w:r>
    </w:p>
    <w:p>
      <w:pPr>
        <w:spacing w:line="360" w:lineRule="auto"/>
        <w:ind w:firstLine="422" w:firstLineChars="200"/>
        <w:rPr>
          <w:rFonts w:ascii="Times New Roman" w:hAnsi="Times New Roman"/>
          <w:b/>
        </w:rPr>
      </w:pPr>
      <w:r>
        <w:rPr>
          <w:rFonts w:ascii="Times New Roman" w:hAnsi="Times New Roman"/>
          <w:b/>
        </w:rPr>
        <w:t xml:space="preserve">1.1.3 </w:t>
      </w:r>
      <w:r>
        <w:rPr>
          <w:rFonts w:hint="eastAsia" w:ascii="Times New Roman" w:hAnsi="Times New Roman"/>
          <w:b/>
        </w:rPr>
        <w:t>合同价格</w:t>
      </w:r>
    </w:p>
    <w:p>
      <w:pPr>
        <w:spacing w:line="360" w:lineRule="auto"/>
        <w:ind w:firstLine="420" w:firstLineChars="200"/>
        <w:rPr>
          <w:rFonts w:ascii="Times New Roman" w:hAnsi="Times New Roman"/>
        </w:rPr>
      </w:pPr>
      <w:r>
        <w:rPr>
          <w:rFonts w:ascii="Times New Roman" w:hAnsi="Times New Roman"/>
        </w:rPr>
        <w:t>1.1.3.1</w:t>
      </w:r>
      <w:r>
        <w:rPr>
          <w:rFonts w:hint="eastAsia" w:ascii="Times New Roman" w:hAnsi="Times New Roman"/>
        </w:rPr>
        <w:t xml:space="preserve"> </w:t>
      </w:r>
      <w:r>
        <w:rPr>
          <w:rFonts w:ascii="Times New Roman" w:hAnsi="Times New Roman"/>
        </w:rPr>
        <w:t>签约合同价：是签订合同时合同协议书中写明的合同总金额。</w:t>
      </w:r>
    </w:p>
    <w:p>
      <w:pPr>
        <w:spacing w:line="360" w:lineRule="auto"/>
        <w:ind w:firstLine="420" w:firstLineChars="200"/>
        <w:rPr>
          <w:rFonts w:ascii="Times New Roman" w:hAnsi="Times New Roman"/>
        </w:rPr>
      </w:pPr>
      <w:r>
        <w:rPr>
          <w:rFonts w:ascii="Times New Roman" w:hAnsi="Times New Roman"/>
        </w:rPr>
        <w:t>1.1.3.2</w:t>
      </w:r>
      <w:r>
        <w:rPr>
          <w:rFonts w:hint="eastAsia" w:ascii="Times New Roman" w:hAnsi="Times New Roman"/>
        </w:rPr>
        <w:t xml:space="preserve"> </w:t>
      </w:r>
      <w:r>
        <w:rPr>
          <w:rFonts w:ascii="Times New Roman" w:hAnsi="Times New Roman"/>
        </w:rPr>
        <w:t>合同价格：指卖方按合同约定履行了全部合同义务后，买方应付给卖方的金额。</w:t>
      </w:r>
    </w:p>
    <w:p>
      <w:pPr>
        <w:spacing w:line="360" w:lineRule="auto"/>
        <w:ind w:firstLine="420" w:firstLineChars="200"/>
        <w:rPr>
          <w:rFonts w:ascii="Times New Roman" w:hAnsi="Times New Roman"/>
        </w:rPr>
      </w:pPr>
      <w:r>
        <w:rPr>
          <w:rFonts w:ascii="Times New Roman" w:hAnsi="Times New Roman"/>
        </w:rPr>
        <w:t xml:space="preserve">1.1.4 </w:t>
      </w:r>
      <w:r>
        <w:rPr>
          <w:rFonts w:hint="eastAsia" w:ascii="Times New Roman" w:hAnsi="Times New Roman"/>
        </w:rPr>
        <w:t>合同材料：指卖方按合同约定应向买方提供的材料及技术资料，或其中任何一部分。</w:t>
      </w:r>
    </w:p>
    <w:p>
      <w:pPr>
        <w:spacing w:line="360" w:lineRule="auto"/>
        <w:ind w:firstLine="420" w:firstLineChars="200"/>
        <w:rPr>
          <w:rFonts w:ascii="Times New Roman" w:hAnsi="Times New Roman"/>
        </w:rPr>
      </w:pPr>
      <w:r>
        <w:rPr>
          <w:rFonts w:ascii="Times New Roman" w:hAnsi="Times New Roman"/>
        </w:rPr>
        <w:t xml:space="preserve">1.1.5 </w:t>
      </w:r>
      <w:r>
        <w:rPr>
          <w:rFonts w:hint="eastAsia" w:ascii="Times New Roman" w:hAnsi="Times New Roman"/>
        </w:rPr>
        <w:t>技术资料：指各种纸质及电子载体的与合同材料检验、使用、修补等有关的技术指标、规格、图纸和说明文件。</w:t>
      </w:r>
    </w:p>
    <w:p>
      <w:pPr>
        <w:spacing w:line="360" w:lineRule="auto"/>
        <w:ind w:firstLine="420" w:firstLineChars="200"/>
        <w:rPr>
          <w:rFonts w:ascii="Times New Roman" w:hAnsi="Times New Roman"/>
        </w:rPr>
      </w:pPr>
      <w:r>
        <w:rPr>
          <w:rFonts w:ascii="Times New Roman" w:hAnsi="Times New Roman"/>
        </w:rPr>
        <w:t xml:space="preserve">1.1.6 </w:t>
      </w:r>
      <w:r>
        <w:rPr>
          <w:rFonts w:hint="eastAsia" w:ascii="Times New Roman" w:hAnsi="Times New Roman"/>
        </w:rPr>
        <w:t>验收：指合同材料经检验合格后，买方做出接受合同材料的确认。</w:t>
      </w:r>
    </w:p>
    <w:p>
      <w:pPr>
        <w:spacing w:line="360" w:lineRule="auto"/>
        <w:ind w:firstLine="420" w:firstLineChars="200"/>
        <w:rPr>
          <w:rFonts w:ascii="Times New Roman" w:hAnsi="Times New Roman"/>
        </w:rPr>
      </w:pPr>
      <w:r>
        <w:rPr>
          <w:rFonts w:ascii="Times New Roman" w:hAnsi="Times New Roman"/>
        </w:rPr>
        <w:t xml:space="preserve">1.1.7 </w:t>
      </w:r>
      <w:r>
        <w:rPr>
          <w:rFonts w:hint="eastAsia" w:ascii="Times New Roman" w:hAnsi="Times New Roman"/>
        </w:rPr>
        <w:t>相关服务：是指在质量保证期届满前卖方提供的与合同材料有关的辅助服务，包括简单加工、解决合同材料存在的质量问题，以及为买方检验、使用和修补合同材料进行的技术指导、培训、协助等。</w:t>
      </w:r>
    </w:p>
    <w:p>
      <w:pPr>
        <w:spacing w:line="360" w:lineRule="auto"/>
        <w:ind w:firstLine="420" w:firstLineChars="200"/>
        <w:rPr>
          <w:rFonts w:ascii="Times New Roman" w:hAnsi="Times New Roman"/>
        </w:rPr>
      </w:pPr>
      <w:r>
        <w:rPr>
          <w:rFonts w:ascii="Times New Roman" w:hAnsi="Times New Roman"/>
        </w:rPr>
        <w:t xml:space="preserve">1.1.8 </w:t>
      </w:r>
      <w:r>
        <w:rPr>
          <w:rFonts w:hint="eastAsia" w:ascii="Times New Roman" w:hAnsi="Times New Roman"/>
        </w:rPr>
        <w:t>质量保证期：指合同材料验收后，卖方按合同约定保证合同材料正常使用，并负责解决合同材料存在的任何质量问题的期限。</w:t>
      </w:r>
    </w:p>
    <w:p>
      <w:pPr>
        <w:spacing w:line="360" w:lineRule="auto"/>
        <w:ind w:firstLine="422" w:firstLineChars="200"/>
        <w:rPr>
          <w:rFonts w:ascii="Times New Roman" w:hAnsi="Times New Roman"/>
          <w:b/>
        </w:rPr>
      </w:pPr>
      <w:r>
        <w:rPr>
          <w:rFonts w:ascii="Times New Roman" w:hAnsi="Times New Roman"/>
          <w:b/>
        </w:rPr>
        <w:t xml:space="preserve">1.1.9 </w:t>
      </w:r>
      <w:r>
        <w:rPr>
          <w:rFonts w:hint="eastAsia" w:ascii="Times New Roman" w:hAnsi="Times New Roman"/>
          <w:b/>
        </w:rPr>
        <w:t>工程</w:t>
      </w:r>
    </w:p>
    <w:p>
      <w:pPr>
        <w:spacing w:line="360" w:lineRule="auto"/>
        <w:ind w:firstLine="420" w:firstLineChars="200"/>
        <w:rPr>
          <w:rFonts w:ascii="Times New Roman" w:hAnsi="Times New Roman"/>
        </w:rPr>
      </w:pPr>
      <w:r>
        <w:rPr>
          <w:rFonts w:ascii="Times New Roman" w:hAnsi="Times New Roman"/>
        </w:rPr>
        <w:t xml:space="preserve">1.1.9.1 </w:t>
      </w:r>
      <w:r>
        <w:rPr>
          <w:rFonts w:hint="eastAsia" w:ascii="Times New Roman" w:hAnsi="Times New Roman"/>
        </w:rPr>
        <w:t>工程：</w:t>
      </w:r>
      <w:bookmarkStart w:id="410" w:name="_Toc247514034"/>
      <w:bookmarkStart w:id="411" w:name="_Toc247527635"/>
      <w:bookmarkStart w:id="412" w:name="_Toc184635097"/>
      <w:r>
        <w:rPr>
          <w:rFonts w:hint="eastAsia" w:ascii="Times New Roman" w:hAnsi="Times New Roman"/>
        </w:rPr>
        <w:t>指在专</w:t>
      </w:r>
      <w:bookmarkStart w:id="413" w:name="_Toc300835031"/>
      <w:bookmarkStart w:id="414" w:name="_Toc384308284"/>
      <w:bookmarkStart w:id="415" w:name="_Toc361508658"/>
      <w:bookmarkStart w:id="416" w:name="_Toc369531600"/>
      <w:bookmarkStart w:id="417" w:name="_Toc22102"/>
      <w:r>
        <w:rPr>
          <w:rFonts w:hint="eastAsia" w:ascii="Times New Roman" w:hAnsi="Times New Roman"/>
        </w:rPr>
        <w:t>用合同条款中指明的</w:t>
      </w:r>
      <w:bookmarkEnd w:id="410"/>
      <w:bookmarkEnd w:id="411"/>
      <w:bookmarkEnd w:id="412"/>
      <w:bookmarkEnd w:id="413"/>
      <w:bookmarkEnd w:id="414"/>
      <w:bookmarkEnd w:id="415"/>
      <w:bookmarkEnd w:id="416"/>
      <w:bookmarkEnd w:id="417"/>
      <w:r>
        <w:rPr>
          <w:rFonts w:hint="eastAsia" w:ascii="Times New Roman" w:hAnsi="Times New Roman"/>
        </w:rPr>
        <w:t>，使用合同材料的工程。</w:t>
      </w:r>
    </w:p>
    <w:p>
      <w:pPr>
        <w:spacing w:line="360" w:lineRule="auto"/>
        <w:ind w:firstLine="420" w:firstLineChars="200"/>
        <w:rPr>
          <w:rFonts w:ascii="Times New Roman" w:hAnsi="Times New Roman"/>
        </w:rPr>
      </w:pPr>
      <w:r>
        <w:rPr>
          <w:rFonts w:ascii="Times New Roman" w:hAnsi="Times New Roman"/>
        </w:rPr>
        <w:t xml:space="preserve">1.1.9.2 </w:t>
      </w:r>
      <w:r>
        <w:rPr>
          <w:rFonts w:hint="eastAsia" w:ascii="Times New Roman" w:hAnsi="Times New Roman"/>
        </w:rPr>
        <w:t>施工场地（或称工地、施工现场）：指专用合同条款中指明的工程所在场所。</w:t>
      </w:r>
    </w:p>
    <w:p>
      <w:pPr>
        <w:spacing w:line="360" w:lineRule="auto"/>
        <w:ind w:firstLine="420" w:firstLineChars="200"/>
        <w:rPr>
          <w:rFonts w:ascii="Times New Roman" w:hAnsi="Times New Roman"/>
        </w:rPr>
      </w:pPr>
      <w:r>
        <w:rPr>
          <w:rFonts w:ascii="Times New Roman" w:hAnsi="Times New Roman"/>
        </w:rPr>
        <w:t xml:space="preserve">1.1.10 </w:t>
      </w:r>
      <w:r>
        <w:rPr>
          <w:rFonts w:hint="eastAsia" w:ascii="Times New Roman" w:hAnsi="Times New Roman"/>
        </w:rPr>
        <w:t>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rPr>
      </w:pPr>
      <w:r>
        <w:rPr>
          <w:rFonts w:ascii="Times New Roman" w:hAnsi="Times New Roman"/>
        </w:rPr>
        <w:t xml:space="preserve">1.1.11 </w:t>
      </w:r>
      <w:r>
        <w:rPr>
          <w:rFonts w:hint="eastAsia" w:ascii="Times New Roman" w:hAnsi="Times New Roman"/>
        </w:rPr>
        <w:t>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20" w:firstLineChars="200"/>
        <w:rPr>
          <w:rFonts w:ascii="Times New Roman" w:hAnsi="Times New Roman"/>
        </w:rPr>
      </w:pPr>
      <w:r>
        <w:rPr>
          <w:rFonts w:ascii="Times New Roman" w:hAnsi="Times New Roman"/>
        </w:rPr>
        <w:t xml:space="preserve">1.1.12 </w:t>
      </w:r>
      <w:r>
        <w:rPr>
          <w:rFonts w:hint="eastAsia" w:ascii="Times New Roman" w:hAnsi="Times New Roman"/>
        </w:rPr>
        <w:t>书面形式：指合同文件、信件和数据电文（包括电报、电传、传真、电子数据交换和电子邮件）等可以有形地表现所载内容的形式。</w:t>
      </w:r>
    </w:p>
    <w:p>
      <w:pPr>
        <w:spacing w:line="360" w:lineRule="auto"/>
        <w:ind w:firstLine="420" w:firstLineChars="200"/>
        <w:rPr>
          <w:rFonts w:ascii="Times New Roman" w:hAnsi="Times New Roman"/>
        </w:rPr>
      </w:pPr>
      <w:r>
        <w:rPr>
          <w:rFonts w:ascii="Times New Roman" w:hAnsi="Times New Roman"/>
        </w:rPr>
        <w:t xml:space="preserve">1.1.13 </w:t>
      </w:r>
      <w:r>
        <w:rPr>
          <w:rFonts w:hint="eastAsia" w:ascii="Times New Roman" w:hAnsi="Times New Roman"/>
        </w:rPr>
        <w:t>不可抗力：是指任何一方当事人不能预见、不能避免并不能克服的自然灾害和社会性突发事件，如地震、海啸、瘟疫、水灾、骚乱、暴动、战争和专用合同条款约定的其</w:t>
      </w:r>
      <w:r>
        <w:rPr>
          <w:rFonts w:ascii="Times New Roman" w:hAnsi="Times New Roman"/>
        </w:rPr>
        <w:t>他情形。</w:t>
      </w:r>
    </w:p>
    <w:p>
      <w:pPr>
        <w:pStyle w:val="4"/>
        <w:spacing w:line="240" w:lineRule="auto"/>
        <w:ind w:firstLine="137"/>
        <w:rPr>
          <w:rFonts w:ascii="Times New Roman" w:hAnsi="Times New Roman"/>
          <w:color w:val="000000"/>
        </w:rPr>
      </w:pPr>
      <w:bookmarkStart w:id="418" w:name="_Toc369531603"/>
      <w:bookmarkStart w:id="419" w:name="_Toc14347"/>
      <w:bookmarkStart w:id="420" w:name="_Toc247085771"/>
      <w:bookmarkStart w:id="421" w:name="_Toc246996999"/>
      <w:bookmarkStart w:id="422" w:name="_Toc246996256"/>
      <w:bookmarkStart w:id="423" w:name="_Toc382920039"/>
      <w:bookmarkStart w:id="424" w:name="_Toc32582"/>
      <w:bookmarkStart w:id="425" w:name="_Toc296602501"/>
      <w:r>
        <w:rPr>
          <w:rFonts w:ascii="Times New Roman" w:hAnsi="Times New Roman"/>
          <w:color w:val="000000"/>
        </w:rPr>
        <w:t xml:space="preserve">1.2 </w:t>
      </w:r>
      <w:r>
        <w:rPr>
          <w:rFonts w:hint="eastAsia" w:ascii="Times New Roman" w:hAnsi="Times New Roman"/>
          <w:color w:val="000000"/>
        </w:rPr>
        <w:t>语言文字</w:t>
      </w:r>
      <w:bookmarkEnd w:id="418"/>
      <w:bookmarkEnd w:id="419"/>
      <w:bookmarkEnd w:id="420"/>
      <w:bookmarkEnd w:id="421"/>
      <w:bookmarkEnd w:id="422"/>
      <w:bookmarkEnd w:id="423"/>
      <w:bookmarkEnd w:id="424"/>
      <w:bookmarkEnd w:id="425"/>
    </w:p>
    <w:p>
      <w:pPr>
        <w:spacing w:line="360" w:lineRule="auto"/>
        <w:ind w:firstLine="420" w:firstLineChars="200"/>
        <w:rPr>
          <w:rFonts w:ascii="Times New Roman" w:hAnsi="Times New Roman"/>
          <w:szCs w:val="21"/>
        </w:rPr>
      </w:pPr>
      <w:bookmarkStart w:id="426" w:name="_Toc246996257"/>
      <w:bookmarkStart w:id="427" w:name="_Toc247085772"/>
      <w:bookmarkStart w:id="428" w:name="_Toc246997000"/>
      <w:r>
        <w:rPr>
          <w:rFonts w:ascii="Times New Roman" w:hAnsi="Times New Roman"/>
          <w:szCs w:val="21"/>
        </w:rPr>
        <w:t>合同使用的语言文字为中文。专用术语使用外文的，应附有中文注释。</w:t>
      </w:r>
    </w:p>
    <w:bookmarkEnd w:id="426"/>
    <w:bookmarkEnd w:id="427"/>
    <w:bookmarkEnd w:id="428"/>
    <w:p>
      <w:pPr>
        <w:pStyle w:val="4"/>
        <w:spacing w:line="240" w:lineRule="auto"/>
        <w:ind w:firstLine="137"/>
        <w:rPr>
          <w:rFonts w:ascii="Times New Roman" w:hAnsi="Times New Roman"/>
          <w:color w:val="000000"/>
        </w:rPr>
      </w:pPr>
      <w:bookmarkStart w:id="429" w:name="_Toc31130"/>
      <w:bookmarkStart w:id="430" w:name="_Toc296602503"/>
      <w:bookmarkStart w:id="431" w:name="_Toc369531605"/>
      <w:bookmarkStart w:id="432" w:name="_Toc16214"/>
      <w:bookmarkStart w:id="433" w:name="_Toc382920041"/>
      <w:bookmarkStart w:id="434" w:name="_Toc247085773"/>
      <w:bookmarkStart w:id="435" w:name="_Toc246996258"/>
      <w:bookmarkStart w:id="436" w:name="_Toc246997001"/>
      <w:r>
        <w:rPr>
          <w:rFonts w:ascii="Times New Roman" w:hAnsi="Times New Roman"/>
          <w:color w:val="000000"/>
        </w:rPr>
        <w:t xml:space="preserve">1.3 </w:t>
      </w:r>
      <w:r>
        <w:rPr>
          <w:rFonts w:hint="eastAsia" w:ascii="Times New Roman" w:hAnsi="Times New Roman"/>
          <w:color w:val="000000"/>
        </w:rPr>
        <w:t>合同文件的优先顺序</w:t>
      </w:r>
      <w:bookmarkEnd w:id="429"/>
      <w:bookmarkEnd w:id="430"/>
      <w:bookmarkEnd w:id="431"/>
      <w:bookmarkEnd w:id="432"/>
      <w:bookmarkEnd w:id="433"/>
      <w:bookmarkEnd w:id="434"/>
      <w:bookmarkEnd w:id="435"/>
      <w:bookmarkEnd w:id="436"/>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firstLineChars="200"/>
        <w:rPr>
          <w:rFonts w:ascii="Times New Roman" w:hAnsi="Times New Roman"/>
          <w:szCs w:val="21"/>
        </w:rPr>
      </w:pPr>
      <w:r>
        <w:rPr>
          <w:rFonts w:ascii="Times New Roman" w:hAnsi="Times New Roman"/>
          <w:szCs w:val="21"/>
        </w:rPr>
        <w:t>（1）合同协议书；</w:t>
      </w:r>
    </w:p>
    <w:p>
      <w:pPr>
        <w:spacing w:line="360" w:lineRule="auto"/>
        <w:ind w:firstLine="420" w:firstLineChars="200"/>
        <w:rPr>
          <w:rFonts w:ascii="Times New Roman" w:hAnsi="Times New Roman"/>
          <w:szCs w:val="21"/>
        </w:rPr>
      </w:pPr>
      <w:r>
        <w:rPr>
          <w:rFonts w:ascii="Times New Roman" w:hAnsi="Times New Roman"/>
          <w:szCs w:val="21"/>
        </w:rPr>
        <w:t>（2）中标通知书；</w:t>
      </w:r>
    </w:p>
    <w:p>
      <w:pPr>
        <w:spacing w:line="360" w:lineRule="auto"/>
        <w:ind w:firstLine="420" w:firstLineChars="200"/>
        <w:rPr>
          <w:rFonts w:ascii="Times New Roman" w:hAnsi="Times New Roman"/>
          <w:szCs w:val="21"/>
        </w:rPr>
      </w:pPr>
      <w:r>
        <w:rPr>
          <w:rFonts w:ascii="Times New Roman" w:hAnsi="Times New Roman"/>
          <w:szCs w:val="21"/>
        </w:rPr>
        <w:t>（3）投标函；</w:t>
      </w:r>
    </w:p>
    <w:p>
      <w:pPr>
        <w:spacing w:line="360" w:lineRule="auto"/>
        <w:ind w:firstLine="420" w:firstLineChars="200"/>
        <w:rPr>
          <w:rFonts w:ascii="Times New Roman" w:hAnsi="Times New Roman"/>
          <w:szCs w:val="21"/>
        </w:rPr>
      </w:pPr>
      <w:r>
        <w:rPr>
          <w:rFonts w:ascii="Times New Roman" w:hAnsi="Times New Roman"/>
          <w:szCs w:val="21"/>
        </w:rPr>
        <w:t>（4）商务和技术偏差表；</w:t>
      </w:r>
    </w:p>
    <w:p>
      <w:pPr>
        <w:spacing w:line="360" w:lineRule="auto"/>
        <w:ind w:firstLine="420" w:firstLineChars="200"/>
        <w:rPr>
          <w:rFonts w:ascii="Times New Roman" w:hAnsi="Times New Roman"/>
          <w:szCs w:val="21"/>
        </w:rPr>
      </w:pPr>
      <w:r>
        <w:rPr>
          <w:rFonts w:ascii="Times New Roman" w:hAnsi="Times New Roman"/>
          <w:szCs w:val="21"/>
        </w:rPr>
        <w:t>（5）专用合同条款；</w:t>
      </w:r>
    </w:p>
    <w:p>
      <w:pPr>
        <w:spacing w:line="360" w:lineRule="auto"/>
        <w:ind w:firstLine="420" w:firstLineChars="200"/>
        <w:rPr>
          <w:rFonts w:ascii="Times New Roman" w:hAnsi="Times New Roman"/>
          <w:szCs w:val="21"/>
        </w:rPr>
      </w:pPr>
      <w:r>
        <w:rPr>
          <w:rFonts w:ascii="Times New Roman" w:hAnsi="Times New Roman"/>
          <w:szCs w:val="21"/>
        </w:rPr>
        <w:t>（6）通用合同条款；</w:t>
      </w:r>
    </w:p>
    <w:p>
      <w:pPr>
        <w:spacing w:line="360" w:lineRule="auto"/>
        <w:ind w:firstLine="420" w:firstLineChars="200"/>
        <w:rPr>
          <w:rFonts w:ascii="Times New Roman" w:hAnsi="Times New Roman"/>
        </w:rPr>
      </w:pPr>
      <w:r>
        <w:rPr>
          <w:rFonts w:ascii="Times New Roman" w:hAnsi="Times New Roman"/>
          <w:szCs w:val="21"/>
        </w:rPr>
        <w:t>（</w:t>
      </w:r>
      <w:r>
        <w:rPr>
          <w:rFonts w:hint="eastAsia" w:ascii="Times New Roman" w:hAnsi="Times New Roman"/>
          <w:szCs w:val="21"/>
        </w:rPr>
        <w:t>7</w:t>
      </w:r>
      <w:r>
        <w:rPr>
          <w:rFonts w:ascii="Times New Roman" w:hAnsi="Times New Roman"/>
          <w:szCs w:val="21"/>
        </w:rPr>
        <w:t>）</w:t>
      </w:r>
      <w:r>
        <w:rPr>
          <w:rFonts w:ascii="Times New Roman" w:hAnsi="Times New Roman"/>
        </w:rPr>
        <w:t>供货要求；</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）分项报价表；</w:t>
      </w:r>
    </w:p>
    <w:p>
      <w:pPr>
        <w:spacing w:line="360" w:lineRule="auto"/>
        <w:ind w:firstLine="420" w:firstLineChars="200"/>
        <w:rPr>
          <w:rFonts w:ascii="Times New Roman" w:hAnsi="Times New Roman"/>
        </w:rPr>
      </w:pPr>
      <w:r>
        <w:rPr>
          <w:rFonts w:ascii="Times New Roman" w:hAnsi="Times New Roman"/>
        </w:rPr>
        <w:t>（</w:t>
      </w:r>
      <w:r>
        <w:rPr>
          <w:rFonts w:hint="eastAsia" w:ascii="Times New Roman" w:hAnsi="Times New Roman"/>
        </w:rPr>
        <w:t>9</w:t>
      </w:r>
      <w:r>
        <w:rPr>
          <w:rFonts w:ascii="Times New Roman" w:hAnsi="Times New Roman"/>
        </w:rPr>
        <w:t>）中标材料质量标准的详细描述；</w:t>
      </w:r>
    </w:p>
    <w:p>
      <w:pPr>
        <w:spacing w:line="360" w:lineRule="auto"/>
        <w:ind w:firstLine="420" w:firstLineChars="200"/>
        <w:rPr>
          <w:rFonts w:ascii="Times New Roman" w:hAnsi="Times New Roman"/>
          <w:szCs w:val="21"/>
        </w:rPr>
      </w:pPr>
      <w:r>
        <w:rPr>
          <w:rFonts w:ascii="Times New Roman" w:hAnsi="Times New Roman"/>
        </w:rPr>
        <w:t>（</w:t>
      </w:r>
      <w:r>
        <w:rPr>
          <w:rFonts w:hint="eastAsia" w:ascii="Times New Roman" w:hAnsi="Times New Roman"/>
        </w:rPr>
        <w:t>10</w:t>
      </w:r>
      <w:r>
        <w:rPr>
          <w:rFonts w:ascii="Times New Roman" w:hAnsi="Times New Roman"/>
        </w:rPr>
        <w:t>）相关服务计划；</w:t>
      </w:r>
    </w:p>
    <w:p>
      <w:pPr>
        <w:spacing w:line="360" w:lineRule="auto"/>
        <w:ind w:firstLine="420" w:firstLineChars="200"/>
        <w:rPr>
          <w:rFonts w:ascii="Times New Roman" w:hAnsi="Times New Roman"/>
          <w:szCs w:val="21"/>
        </w:rPr>
      </w:pPr>
      <w:r>
        <w:rPr>
          <w:rFonts w:ascii="Times New Roman" w:hAnsi="Times New Roman"/>
          <w:szCs w:val="21"/>
        </w:rPr>
        <w:t>（11）</w:t>
      </w:r>
      <w:r>
        <w:rPr>
          <w:rFonts w:ascii="Times New Roman" w:hAnsi="Times New Roman"/>
        </w:rPr>
        <w:t>其他合同文件。</w:t>
      </w:r>
    </w:p>
    <w:p>
      <w:pPr>
        <w:pStyle w:val="4"/>
        <w:spacing w:line="240" w:lineRule="auto"/>
        <w:ind w:firstLine="137"/>
        <w:rPr>
          <w:rFonts w:ascii="Times New Roman" w:hAnsi="Times New Roman"/>
          <w:color w:val="000000"/>
        </w:rPr>
      </w:pPr>
      <w:bookmarkStart w:id="437" w:name="_Toc8242"/>
      <w:bookmarkStart w:id="438" w:name="_Toc246996261"/>
      <w:bookmarkStart w:id="439" w:name="_Toc247085776"/>
      <w:bookmarkStart w:id="440" w:name="_Toc246997004"/>
      <w:bookmarkStart w:id="441" w:name="_Toc31184"/>
      <w:bookmarkStart w:id="442" w:name="_Toc382920043"/>
      <w:bookmarkStart w:id="443" w:name="_Toc369531607"/>
      <w:bookmarkStart w:id="444" w:name="_Toc296602506"/>
      <w:r>
        <w:rPr>
          <w:rFonts w:ascii="Times New Roman" w:hAnsi="Times New Roman"/>
          <w:color w:val="000000"/>
        </w:rPr>
        <w:t xml:space="preserve">1.4 </w:t>
      </w:r>
      <w:r>
        <w:rPr>
          <w:rFonts w:hint="eastAsia" w:ascii="Times New Roman" w:hAnsi="Times New Roman"/>
          <w:color w:val="000000"/>
        </w:rPr>
        <w:t>合同的生效及变更</w:t>
      </w:r>
      <w:bookmarkEnd w:id="437"/>
    </w:p>
    <w:p>
      <w:pPr>
        <w:spacing w:line="360" w:lineRule="auto"/>
        <w:ind w:firstLine="420" w:firstLineChars="200"/>
        <w:rPr>
          <w:rFonts w:ascii="Times New Roman" w:hAnsi="Times New Roman"/>
          <w:szCs w:val="21"/>
        </w:rPr>
      </w:pPr>
      <w:r>
        <w:rPr>
          <w:rFonts w:ascii="Times New Roman" w:hAnsi="Times New Roman"/>
        </w:rPr>
        <w:t xml:space="preserve">1.4.1 </w:t>
      </w:r>
      <w:r>
        <w:rPr>
          <w:rFonts w:ascii="Times New Roman" w:hAnsi="Times New Roman"/>
          <w:szCs w:val="21"/>
        </w:rPr>
        <w:t>除专用合同条款另有约定外，买方和卖方的法定代表人（单位负责人）或其授权代表在合同协议书上签字并加</w:t>
      </w:r>
      <w:r>
        <w:rPr>
          <w:rFonts w:ascii="Times New Roman" w:hAnsi="Times New Roman"/>
          <w:color w:val="000000"/>
        </w:rPr>
        <w:t>盖单位章</w:t>
      </w:r>
      <w:r>
        <w:rPr>
          <w:rFonts w:ascii="Times New Roman" w:hAnsi="Times New Roman"/>
          <w:szCs w:val="21"/>
        </w:rPr>
        <w:t>后，合同生效。</w:t>
      </w:r>
    </w:p>
    <w:p>
      <w:pPr>
        <w:spacing w:line="360" w:lineRule="auto"/>
        <w:ind w:firstLine="420" w:firstLineChars="200"/>
        <w:rPr>
          <w:rFonts w:ascii="Times New Roman" w:hAnsi="Times New Roman"/>
          <w:szCs w:val="21"/>
        </w:rPr>
      </w:pPr>
      <w:r>
        <w:rPr>
          <w:rFonts w:ascii="Times New Roman" w:hAnsi="Times New Roman"/>
        </w:rPr>
        <w:t xml:space="preserve">1.4.2 </w:t>
      </w:r>
      <w:r>
        <w:rPr>
          <w:rFonts w:ascii="Times New Roman" w:hAnsi="Times New Roman"/>
          <w:szCs w:val="21"/>
        </w:rPr>
        <w:t>除专用合同条款另有约定外，</w:t>
      </w:r>
      <w:r>
        <w:rPr>
          <w:rFonts w:ascii="Times New Roman" w:hAnsi="Times New Roman"/>
        </w:rPr>
        <w:t>在合同履行过程中，如需对合同进行变更，双方应签订书面协议，并经双方</w:t>
      </w:r>
      <w:r>
        <w:rPr>
          <w:rFonts w:ascii="Times New Roman" w:hAnsi="Times New Roman"/>
          <w:szCs w:val="21"/>
        </w:rPr>
        <w:t>法定代表人（单位负责人）或其授权代表签字并加</w:t>
      </w:r>
      <w:r>
        <w:rPr>
          <w:rFonts w:ascii="Times New Roman" w:hAnsi="Times New Roman"/>
          <w:color w:val="000000"/>
        </w:rPr>
        <w:t>盖单位章</w:t>
      </w:r>
      <w:r>
        <w:rPr>
          <w:rFonts w:ascii="Times New Roman" w:hAnsi="Times New Roman"/>
          <w:szCs w:val="21"/>
        </w:rPr>
        <w:t>后生效。</w:t>
      </w:r>
    </w:p>
    <w:p>
      <w:pPr>
        <w:pStyle w:val="4"/>
        <w:spacing w:line="240" w:lineRule="auto"/>
        <w:ind w:firstLine="137"/>
        <w:rPr>
          <w:rFonts w:ascii="Times New Roman" w:hAnsi="Times New Roman"/>
          <w:color w:val="000000"/>
        </w:rPr>
      </w:pPr>
      <w:bookmarkStart w:id="445" w:name="_Toc1246"/>
      <w:r>
        <w:rPr>
          <w:rFonts w:ascii="Times New Roman" w:hAnsi="Times New Roman"/>
          <w:color w:val="000000"/>
        </w:rPr>
        <w:t xml:space="preserve">1.5 </w:t>
      </w:r>
      <w:r>
        <w:rPr>
          <w:rFonts w:hint="eastAsia" w:ascii="Times New Roman" w:hAnsi="Times New Roman"/>
          <w:color w:val="000000"/>
        </w:rPr>
        <w:t>联络</w:t>
      </w:r>
      <w:bookmarkEnd w:id="438"/>
      <w:bookmarkEnd w:id="439"/>
      <w:bookmarkEnd w:id="440"/>
      <w:bookmarkEnd w:id="441"/>
      <w:bookmarkEnd w:id="442"/>
      <w:bookmarkEnd w:id="443"/>
      <w:bookmarkEnd w:id="444"/>
      <w:bookmarkEnd w:id="445"/>
    </w:p>
    <w:p>
      <w:pPr>
        <w:spacing w:line="360" w:lineRule="auto"/>
        <w:ind w:firstLine="420" w:firstLineChars="200"/>
        <w:rPr>
          <w:rFonts w:ascii="Times New Roman" w:hAnsi="Times New Roman"/>
        </w:rPr>
      </w:pPr>
      <w:r>
        <w:rPr>
          <w:rFonts w:ascii="Times New Roman" w:hAnsi="Times New Roman"/>
        </w:rPr>
        <w:t>1.5.1 买卖双方应就合同</w:t>
      </w:r>
      <w:r>
        <w:rPr>
          <w:rFonts w:hint="eastAsia" w:ascii="Times New Roman" w:hAnsi="Times New Roman"/>
        </w:rPr>
        <w:t>履</w:t>
      </w:r>
      <w:r>
        <w:rPr>
          <w:rFonts w:ascii="Times New Roman" w:hAnsi="Times New Roman"/>
        </w:rPr>
        <w:t>行中有关的事项及时进行联络，重要事项应通过书面形式进行联络。</w:t>
      </w:r>
      <w:bookmarkStart w:id="446" w:name="_Toc369531608"/>
    </w:p>
    <w:p>
      <w:pPr>
        <w:spacing w:line="360" w:lineRule="auto"/>
        <w:ind w:firstLine="420" w:firstLineChars="200"/>
        <w:rPr>
          <w:rFonts w:ascii="Times New Roman" w:hAnsi="Times New Roman"/>
          <w:b/>
          <w:bCs/>
          <w:szCs w:val="28"/>
        </w:rPr>
      </w:pPr>
      <w:r>
        <w:rPr>
          <w:rFonts w:ascii="Times New Roman" w:hAnsi="Times New Roman"/>
        </w:rPr>
        <w:t>1.5.2 买方可以安排监理等相关人员作为买方人员，与卖方进行联络或参加合同材料的检验和验收等。</w:t>
      </w:r>
    </w:p>
    <w:p>
      <w:pPr>
        <w:pStyle w:val="4"/>
        <w:spacing w:line="240" w:lineRule="auto"/>
        <w:ind w:firstLine="137"/>
        <w:rPr>
          <w:rFonts w:ascii="Times New Roman" w:hAnsi="Times New Roman"/>
          <w:color w:val="000000"/>
        </w:rPr>
      </w:pPr>
      <w:bookmarkStart w:id="447" w:name="_Toc16882"/>
      <w:bookmarkStart w:id="448" w:name="_Toc382920044"/>
      <w:bookmarkStart w:id="449" w:name="_Toc6051"/>
      <w:r>
        <w:rPr>
          <w:rFonts w:ascii="Times New Roman" w:hAnsi="Times New Roman"/>
          <w:color w:val="000000"/>
        </w:rPr>
        <w:t xml:space="preserve">1.6 </w:t>
      </w:r>
      <w:r>
        <w:rPr>
          <w:rFonts w:hint="eastAsia" w:ascii="Times New Roman" w:hAnsi="Times New Roman"/>
          <w:color w:val="000000"/>
        </w:rPr>
        <w:t>联合体</w:t>
      </w:r>
      <w:bookmarkEnd w:id="446"/>
      <w:bookmarkEnd w:id="447"/>
      <w:bookmarkEnd w:id="448"/>
      <w:bookmarkEnd w:id="449"/>
    </w:p>
    <w:p>
      <w:pPr>
        <w:spacing w:line="360" w:lineRule="auto"/>
        <w:ind w:firstLine="420" w:firstLineChars="200"/>
        <w:rPr>
          <w:rFonts w:ascii="Times New Roman" w:hAnsi="Times New Roman"/>
          <w:szCs w:val="21"/>
        </w:rPr>
      </w:pPr>
      <w:r>
        <w:rPr>
          <w:rFonts w:ascii="Times New Roman" w:hAnsi="Times New Roman"/>
        </w:rPr>
        <w:t>1.6.1卖方为联合体的，</w:t>
      </w:r>
      <w:r>
        <w:rPr>
          <w:rFonts w:ascii="Times New Roman" w:hAnsi="Times New Roman"/>
          <w:color w:val="000000"/>
          <w:szCs w:val="21"/>
        </w:rPr>
        <w:t>联合体各方应当共同与买方签订合同，</w:t>
      </w:r>
      <w:r>
        <w:rPr>
          <w:rFonts w:ascii="Times New Roman" w:hAnsi="Times New Roman"/>
          <w:szCs w:val="21"/>
        </w:rPr>
        <w:t>并向买方为履行合同承担连带责任。</w:t>
      </w:r>
    </w:p>
    <w:p>
      <w:pPr>
        <w:spacing w:line="360" w:lineRule="auto"/>
        <w:ind w:firstLine="420" w:firstLineChars="200"/>
        <w:rPr>
          <w:rFonts w:ascii="Times New Roman" w:hAnsi="Times New Roman"/>
          <w:szCs w:val="21"/>
        </w:rPr>
      </w:pPr>
      <w:r>
        <w:rPr>
          <w:rFonts w:ascii="Times New Roman" w:hAnsi="Times New Roman"/>
        </w:rPr>
        <w:t>1.6.2</w:t>
      </w:r>
      <w:r>
        <w:rPr>
          <w:rFonts w:ascii="Times New Roman" w:hAnsi="Times New Roman"/>
          <w:szCs w:val="21"/>
        </w:rPr>
        <w:t xml:space="preserve"> 在合同履行过程中，未经买方同意，不得修改联合体协议。</w:t>
      </w:r>
      <w:r>
        <w:rPr>
          <w:rFonts w:ascii="Times New Roman" w:hAnsi="Times New Roman"/>
          <w:color w:val="000000"/>
        </w:rPr>
        <w:t>联合体协议中关于联合体成员间权利义务的划分，并不影响或减损联合体各方应就履行合同向买方承担的连带责任。</w:t>
      </w:r>
    </w:p>
    <w:p>
      <w:pPr>
        <w:spacing w:line="360" w:lineRule="auto"/>
        <w:ind w:firstLine="420" w:firstLineChars="200"/>
        <w:rPr>
          <w:rFonts w:ascii="Times New Roman" w:hAnsi="Times New Roman"/>
          <w:szCs w:val="21"/>
        </w:rPr>
      </w:pPr>
      <w:r>
        <w:rPr>
          <w:rFonts w:ascii="Times New Roman" w:hAnsi="Times New Roman"/>
        </w:rPr>
        <w:t xml:space="preserve">1.6.3 </w:t>
      </w:r>
      <w:r>
        <w:rPr>
          <w:rFonts w:ascii="Times New Roman" w:hAnsi="Times New Roman"/>
          <w:szCs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pStyle w:val="4"/>
        <w:spacing w:line="240" w:lineRule="auto"/>
        <w:ind w:firstLine="137"/>
        <w:rPr>
          <w:rFonts w:ascii="Times New Roman" w:hAnsi="Times New Roman"/>
          <w:color w:val="000000"/>
        </w:rPr>
      </w:pPr>
      <w:bookmarkStart w:id="450" w:name="_Toc8276"/>
      <w:bookmarkStart w:id="451" w:name="_Toc369531609"/>
      <w:bookmarkStart w:id="452" w:name="_Toc382920045"/>
      <w:bookmarkStart w:id="453" w:name="_Toc11291"/>
      <w:r>
        <w:rPr>
          <w:rFonts w:ascii="Times New Roman" w:hAnsi="Times New Roman"/>
          <w:color w:val="000000"/>
        </w:rPr>
        <w:t xml:space="preserve">1.7 </w:t>
      </w:r>
      <w:r>
        <w:rPr>
          <w:rFonts w:hint="eastAsia" w:ascii="Times New Roman" w:hAnsi="Times New Roman"/>
          <w:color w:val="000000"/>
        </w:rPr>
        <w:t>转让</w:t>
      </w:r>
      <w:bookmarkEnd w:id="450"/>
      <w:bookmarkEnd w:id="451"/>
      <w:bookmarkEnd w:id="452"/>
      <w:bookmarkEnd w:id="453"/>
    </w:p>
    <w:p>
      <w:pPr>
        <w:spacing w:line="360" w:lineRule="auto"/>
        <w:ind w:firstLine="420" w:firstLineChars="200"/>
        <w:rPr>
          <w:rFonts w:ascii="Times New Roman" w:hAnsi="Times New Roman"/>
          <w:szCs w:val="21"/>
        </w:rPr>
      </w:pPr>
      <w:r>
        <w:rPr>
          <w:rFonts w:ascii="Times New Roman" w:hAnsi="Times New Roman"/>
          <w:szCs w:val="21"/>
        </w:rPr>
        <w:t>未经对方当事人书面同意，合同任何一方均不得转让其在本合同项下的权利和（或）义务。</w:t>
      </w:r>
    </w:p>
    <w:p>
      <w:pPr>
        <w:pStyle w:val="4"/>
        <w:spacing w:line="240" w:lineRule="auto"/>
        <w:ind w:firstLine="137"/>
        <w:rPr>
          <w:rFonts w:ascii="Times New Roman" w:hAnsi="Times New Roman"/>
          <w:color w:val="000000"/>
        </w:rPr>
      </w:pPr>
      <w:bookmarkStart w:id="454" w:name="_Toc11319"/>
      <w:bookmarkStart w:id="455" w:name="_Toc382920046"/>
      <w:bookmarkStart w:id="456" w:name="_Toc8546"/>
      <w:r>
        <w:rPr>
          <w:rFonts w:ascii="Times New Roman" w:hAnsi="Times New Roman"/>
          <w:color w:val="000000"/>
        </w:rPr>
        <w:t xml:space="preserve">1.8 </w:t>
      </w:r>
      <w:r>
        <w:rPr>
          <w:rFonts w:hint="eastAsia" w:ascii="Times New Roman" w:hAnsi="Times New Roman"/>
          <w:color w:val="000000"/>
        </w:rPr>
        <w:t>知识产权</w:t>
      </w:r>
      <w:bookmarkEnd w:id="454"/>
      <w:bookmarkEnd w:id="455"/>
      <w:bookmarkEnd w:id="456"/>
    </w:p>
    <w:p>
      <w:pPr>
        <w:spacing w:line="360" w:lineRule="auto"/>
        <w:ind w:firstLine="420" w:firstLineChars="200"/>
        <w:rPr>
          <w:rFonts w:ascii="Times New Roman" w:hAnsi="Times New Roman"/>
          <w:szCs w:val="21"/>
        </w:rPr>
      </w:pPr>
      <w:r>
        <w:rPr>
          <w:rFonts w:ascii="Times New Roman" w:hAnsi="Times New Roman"/>
          <w:szCs w:val="21"/>
        </w:rPr>
        <w:t>1.8.1 合同材料或其中的技术资料涉及知识产权的，卖方保证买方免于受到任何知识产权侵权的主张、索赔或诉讼的伤害。</w:t>
      </w:r>
    </w:p>
    <w:p>
      <w:pPr>
        <w:spacing w:line="360" w:lineRule="auto"/>
        <w:ind w:firstLine="420" w:firstLineChars="200"/>
        <w:rPr>
          <w:rFonts w:ascii="Times New Roman" w:hAnsi="Times New Roman"/>
          <w:szCs w:val="21"/>
        </w:rPr>
      </w:pPr>
      <w:r>
        <w:rPr>
          <w:rFonts w:ascii="Times New Roman" w:hAnsi="Times New Roman"/>
          <w:szCs w:val="21"/>
        </w:rPr>
        <w:t>1.8.2 如果买方收到任何第三方有关知识产权的主张、索赔或诉讼，卖方在收到买方通知后，应以买方名义处理与第三方的索赔或诉讼，并承担因此产生的费用以及给买方造成的损失。</w:t>
      </w:r>
    </w:p>
    <w:p>
      <w:pPr>
        <w:pStyle w:val="4"/>
        <w:spacing w:line="240" w:lineRule="auto"/>
        <w:ind w:firstLine="137"/>
        <w:rPr>
          <w:rFonts w:ascii="Times New Roman" w:hAnsi="Times New Roman"/>
          <w:color w:val="000000"/>
        </w:rPr>
      </w:pPr>
      <w:bookmarkStart w:id="457" w:name="_Toc7804"/>
      <w:r>
        <w:rPr>
          <w:rFonts w:ascii="Times New Roman" w:hAnsi="Times New Roman"/>
          <w:color w:val="000000"/>
        </w:rPr>
        <w:t xml:space="preserve">1.9 </w:t>
      </w:r>
      <w:r>
        <w:rPr>
          <w:rFonts w:hint="eastAsia" w:ascii="Times New Roman" w:hAnsi="Times New Roman"/>
          <w:color w:val="000000"/>
        </w:rPr>
        <w:t>保密</w:t>
      </w:r>
      <w:bookmarkEnd w:id="457"/>
    </w:p>
    <w:p>
      <w:pPr>
        <w:spacing w:line="360" w:lineRule="auto"/>
        <w:ind w:firstLine="420" w:firstLineChars="200"/>
        <w:rPr>
          <w:rFonts w:ascii="Times New Roman" w:hAnsi="Times New Roman"/>
          <w:szCs w:val="21"/>
        </w:rPr>
      </w:pPr>
      <w:r>
        <w:rPr>
          <w:rFonts w:ascii="Times New Roman" w:hAnsi="Times New Roman"/>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pPr>
        <w:pStyle w:val="3"/>
        <w:rPr>
          <w:rFonts w:ascii="Times New Roman" w:hAnsi="Times New Roman"/>
          <w:bCs/>
          <w:szCs w:val="32"/>
        </w:rPr>
      </w:pPr>
      <w:bookmarkStart w:id="458" w:name="_Toc184635099"/>
      <w:bookmarkStart w:id="459" w:name="_Toc246996263"/>
      <w:bookmarkStart w:id="460" w:name="_Toc296602507"/>
      <w:bookmarkStart w:id="461" w:name="_Toc246997006"/>
      <w:bookmarkStart w:id="462" w:name="_Toc247085778"/>
      <w:bookmarkStart w:id="463" w:name="_Toc382920047"/>
      <w:bookmarkStart w:id="464" w:name="_Toc26575"/>
      <w:bookmarkStart w:id="465" w:name="_Toc29018"/>
      <w:bookmarkStart w:id="466" w:name="_Toc369531612"/>
      <w:r>
        <w:rPr>
          <w:rFonts w:ascii="Times New Roman" w:hAnsi="Times New Roman"/>
          <w:bCs/>
          <w:szCs w:val="32"/>
        </w:rPr>
        <w:t xml:space="preserve">2. </w:t>
      </w:r>
      <w:bookmarkEnd w:id="458"/>
      <w:bookmarkEnd w:id="459"/>
      <w:bookmarkEnd w:id="460"/>
      <w:bookmarkEnd w:id="461"/>
      <w:bookmarkEnd w:id="462"/>
      <w:r>
        <w:rPr>
          <w:rFonts w:ascii="Times New Roman" w:hAnsi="Times New Roman"/>
          <w:bCs/>
          <w:szCs w:val="32"/>
        </w:rPr>
        <w:t>合同范围</w:t>
      </w:r>
      <w:bookmarkEnd w:id="463"/>
      <w:bookmarkEnd w:id="464"/>
      <w:bookmarkEnd w:id="465"/>
      <w:bookmarkEnd w:id="466"/>
    </w:p>
    <w:p>
      <w:pPr>
        <w:spacing w:line="360" w:lineRule="auto"/>
        <w:ind w:firstLine="420" w:firstLineChars="200"/>
        <w:rPr>
          <w:rFonts w:ascii="Times New Roman" w:hAnsi="Times New Roman"/>
          <w:szCs w:val="21"/>
        </w:rPr>
      </w:pPr>
      <w:r>
        <w:rPr>
          <w:rFonts w:ascii="Times New Roman" w:hAnsi="Times New Roman"/>
          <w:szCs w:val="21"/>
        </w:rPr>
        <w:t>卖方应根据</w:t>
      </w:r>
      <w:r>
        <w:rPr>
          <w:rFonts w:ascii="Times New Roman" w:hAnsi="Times New Roman"/>
          <w:szCs w:val="24"/>
        </w:rPr>
        <w:t>供货要求</w:t>
      </w:r>
      <w:r>
        <w:rPr>
          <w:rFonts w:hint="eastAsia" w:ascii="Times New Roman" w:hAnsi="Times New Roman"/>
          <w:szCs w:val="24"/>
        </w:rPr>
        <w:t>、</w:t>
      </w:r>
      <w:r>
        <w:rPr>
          <w:rFonts w:hint="eastAsia" w:ascii="Times New Roman" w:hAnsi="Times New Roman"/>
        </w:rPr>
        <w:t>中</w:t>
      </w:r>
      <w:r>
        <w:rPr>
          <w:rFonts w:ascii="Times New Roman" w:hAnsi="Times New Roman"/>
        </w:rPr>
        <w:t>标材料质量标准的详细描述</w:t>
      </w:r>
      <w:r>
        <w:rPr>
          <w:rFonts w:ascii="Times New Roman" w:hAnsi="Times New Roman"/>
          <w:szCs w:val="24"/>
        </w:rPr>
        <w:t>、</w:t>
      </w:r>
      <w:r>
        <w:rPr>
          <w:rFonts w:ascii="Times New Roman" w:hAnsi="Times New Roman"/>
        </w:rPr>
        <w:t>相关服务计划</w:t>
      </w:r>
      <w:r>
        <w:rPr>
          <w:rFonts w:ascii="Times New Roman" w:hAnsi="Times New Roman"/>
          <w:szCs w:val="21"/>
        </w:rPr>
        <w:t>等合同文件的约定向买方提供合同材料和相关服务。</w:t>
      </w:r>
    </w:p>
    <w:p>
      <w:pPr>
        <w:pStyle w:val="3"/>
        <w:rPr>
          <w:rFonts w:ascii="Times New Roman" w:hAnsi="Times New Roman"/>
          <w:bCs/>
          <w:szCs w:val="32"/>
        </w:rPr>
      </w:pPr>
      <w:bookmarkStart w:id="467" w:name="_Toc369531646"/>
      <w:bookmarkStart w:id="468" w:name="_Toc926"/>
      <w:bookmarkStart w:id="469" w:name="_Toc382920048"/>
      <w:bookmarkStart w:id="470" w:name="_Toc6016"/>
      <w:bookmarkStart w:id="471" w:name="_Toc246996312"/>
      <w:bookmarkStart w:id="472" w:name="_Toc247085827"/>
      <w:bookmarkStart w:id="473" w:name="_Toc246997055"/>
      <w:r>
        <w:rPr>
          <w:rFonts w:ascii="Times New Roman" w:hAnsi="Times New Roman"/>
          <w:bCs/>
          <w:szCs w:val="32"/>
        </w:rPr>
        <w:t>3. 合同价格与支付</w:t>
      </w:r>
      <w:bookmarkEnd w:id="467"/>
      <w:bookmarkEnd w:id="468"/>
      <w:bookmarkEnd w:id="469"/>
      <w:bookmarkEnd w:id="470"/>
    </w:p>
    <w:p>
      <w:pPr>
        <w:pStyle w:val="4"/>
        <w:spacing w:line="240" w:lineRule="auto"/>
        <w:ind w:firstLine="137"/>
        <w:rPr>
          <w:rFonts w:ascii="Times New Roman" w:hAnsi="Times New Roman"/>
          <w:color w:val="000000"/>
        </w:rPr>
      </w:pPr>
      <w:bookmarkStart w:id="474" w:name="_Toc369531647"/>
      <w:bookmarkStart w:id="475" w:name="_Toc382920049"/>
      <w:bookmarkStart w:id="476" w:name="_Toc29842"/>
      <w:bookmarkStart w:id="477" w:name="_Toc23497"/>
      <w:r>
        <w:rPr>
          <w:rFonts w:ascii="Times New Roman" w:hAnsi="Times New Roman"/>
          <w:color w:val="000000"/>
        </w:rPr>
        <w:t xml:space="preserve">3.1 </w:t>
      </w:r>
      <w:r>
        <w:rPr>
          <w:rFonts w:hint="eastAsia" w:ascii="Times New Roman" w:hAnsi="Times New Roman"/>
          <w:color w:val="000000"/>
        </w:rPr>
        <w:t>合同</w:t>
      </w:r>
      <w:bookmarkEnd w:id="474"/>
      <w:r>
        <w:rPr>
          <w:rFonts w:hint="eastAsia" w:ascii="Times New Roman" w:hAnsi="Times New Roman"/>
          <w:color w:val="000000"/>
        </w:rPr>
        <w:t>价格</w:t>
      </w:r>
      <w:bookmarkEnd w:id="475"/>
      <w:bookmarkEnd w:id="476"/>
      <w:bookmarkEnd w:id="477"/>
    </w:p>
    <w:p>
      <w:pPr>
        <w:spacing w:line="360" w:lineRule="auto"/>
        <w:ind w:firstLine="420" w:firstLineChars="200"/>
        <w:rPr>
          <w:rFonts w:ascii="Times New Roman" w:hAnsi="Times New Roman"/>
          <w:kern w:val="0"/>
          <w:szCs w:val="21"/>
        </w:rPr>
      </w:pPr>
      <w:bookmarkStart w:id="478" w:name="_Toc369531654"/>
      <w:r>
        <w:rPr>
          <w:rFonts w:ascii="Times New Roman" w:hAnsi="Times New Roman"/>
          <w:szCs w:val="21"/>
        </w:rPr>
        <w:t>3.1.1</w:t>
      </w:r>
      <w:r>
        <w:rPr>
          <w:rFonts w:hint="eastAsia" w:ascii="Times New Roman" w:hAnsi="Times New Roman"/>
          <w:szCs w:val="21"/>
        </w:rPr>
        <w:t xml:space="preserve"> </w:t>
      </w:r>
      <w:r>
        <w:rPr>
          <w:rFonts w:ascii="Times New Roman" w:hAnsi="Times New Roman"/>
          <w:szCs w:val="21"/>
        </w:rPr>
        <w:t>合同协议书中</w:t>
      </w:r>
      <w:r>
        <w:rPr>
          <w:rFonts w:ascii="Times New Roman" w:hAnsi="Times New Roman"/>
          <w:kern w:val="0"/>
          <w:szCs w:val="21"/>
        </w:rPr>
        <w:t>载明的签约合同价包括卖方为完成合同全部义务应承担的一切成本、费用和支出以及卖方的合理利润</w:t>
      </w:r>
      <w:r>
        <w:rPr>
          <w:rFonts w:ascii="Times New Roman" w:hAnsi="Times New Roman"/>
          <w:szCs w:val="21"/>
        </w:rPr>
        <w:t>。</w:t>
      </w:r>
    </w:p>
    <w:p>
      <w:pPr>
        <w:spacing w:line="360" w:lineRule="auto"/>
        <w:ind w:firstLine="420" w:firstLineChars="200"/>
        <w:rPr>
          <w:rFonts w:ascii="Times New Roman" w:hAnsi="Times New Roman"/>
          <w:kern w:val="0"/>
          <w:szCs w:val="21"/>
        </w:rPr>
      </w:pPr>
      <w:r>
        <w:rPr>
          <w:rFonts w:ascii="Times New Roman" w:hAnsi="Times New Roman"/>
          <w:kern w:val="0"/>
          <w:szCs w:val="21"/>
        </w:rPr>
        <w:t>3.1.2</w:t>
      </w:r>
      <w:r>
        <w:rPr>
          <w:rFonts w:hint="eastAsia" w:ascii="Times New Roman" w:hAnsi="Times New Roman"/>
          <w:kern w:val="0"/>
          <w:szCs w:val="21"/>
        </w:rPr>
        <w:t xml:space="preserve"> </w:t>
      </w:r>
      <w:r>
        <w:rPr>
          <w:rFonts w:ascii="Times New Roman" w:hAnsi="Times New Roman"/>
          <w:szCs w:val="21"/>
        </w:rPr>
        <w:t>除专用合同条款另有约定外，</w:t>
      </w:r>
      <w:r>
        <w:rPr>
          <w:rFonts w:ascii="Times New Roman" w:hAnsi="Times New Roman"/>
          <w:kern w:val="0"/>
          <w:szCs w:val="21"/>
        </w:rPr>
        <w:t>供货周期不超过12个月的</w:t>
      </w:r>
      <w:r>
        <w:rPr>
          <w:rFonts w:ascii="Times New Roman" w:hAnsi="Times New Roman"/>
          <w:szCs w:val="21"/>
        </w:rPr>
        <w:t>签约合同价为固定价格。</w:t>
      </w:r>
      <w:r>
        <w:rPr>
          <w:rFonts w:ascii="Times New Roman" w:hAnsi="Times New Roman"/>
          <w:kern w:val="0"/>
          <w:szCs w:val="21"/>
        </w:rPr>
        <w:t>供货周期超过12个月且合同材料交付时材料价格变化超过专用合同条款约定的幅度的，双方应按照专用合同条款中约定的调整方法对合同价格进行调整。</w:t>
      </w:r>
    </w:p>
    <w:p>
      <w:pPr>
        <w:pStyle w:val="4"/>
        <w:spacing w:line="240" w:lineRule="auto"/>
        <w:ind w:firstLine="137"/>
        <w:rPr>
          <w:rFonts w:ascii="Times New Roman" w:hAnsi="Times New Roman"/>
          <w:color w:val="000000"/>
        </w:rPr>
      </w:pPr>
      <w:bookmarkStart w:id="479" w:name="_Toc22448"/>
      <w:r>
        <w:rPr>
          <w:rFonts w:ascii="Times New Roman" w:hAnsi="Times New Roman"/>
          <w:color w:val="000000"/>
        </w:rPr>
        <w:t xml:space="preserve">3.2 </w:t>
      </w:r>
      <w:r>
        <w:rPr>
          <w:rFonts w:hint="eastAsia" w:ascii="Times New Roman" w:hAnsi="Times New Roman"/>
          <w:color w:val="000000"/>
        </w:rPr>
        <w:t>合同价款的支付</w:t>
      </w:r>
      <w:bookmarkEnd w:id="479"/>
    </w:p>
    <w:p>
      <w:pPr>
        <w:spacing w:line="360" w:lineRule="auto"/>
        <w:ind w:firstLine="420" w:firstLineChars="200"/>
        <w:rPr>
          <w:rFonts w:ascii="Times New Roman" w:hAnsi="Times New Roman"/>
          <w:szCs w:val="21"/>
        </w:rPr>
      </w:pPr>
      <w:r>
        <w:rPr>
          <w:rFonts w:ascii="Times New Roman" w:hAnsi="Times New Roman"/>
          <w:szCs w:val="21"/>
        </w:rPr>
        <w:t>除专用合同条款另有约定外，买方</w:t>
      </w:r>
      <w:bookmarkStart w:id="480" w:name="_Toc11471"/>
      <w:r>
        <w:rPr>
          <w:rFonts w:ascii="Times New Roman" w:hAnsi="Times New Roman"/>
          <w:szCs w:val="21"/>
        </w:rPr>
        <w:t>应通过以下方式和</w:t>
      </w:r>
      <w:bookmarkEnd w:id="480"/>
      <w:r>
        <w:rPr>
          <w:rFonts w:ascii="Times New Roman" w:hAnsi="Times New Roman"/>
          <w:szCs w:val="21"/>
        </w:rPr>
        <w:t>比例向卖方支付合同价款：</w:t>
      </w:r>
    </w:p>
    <w:p>
      <w:pPr>
        <w:spacing w:line="360" w:lineRule="auto"/>
        <w:ind w:firstLine="420" w:firstLineChars="200"/>
        <w:rPr>
          <w:rFonts w:ascii="Times New Roman" w:hAnsi="Times New Roman"/>
          <w:szCs w:val="21"/>
        </w:rPr>
      </w:pPr>
      <w:r>
        <w:rPr>
          <w:rFonts w:ascii="Times New Roman" w:hAnsi="Times New Roman"/>
          <w:szCs w:val="21"/>
        </w:rPr>
        <w:t>3.2.1预付款</w:t>
      </w:r>
    </w:p>
    <w:p>
      <w:pPr>
        <w:spacing w:line="360" w:lineRule="auto"/>
        <w:ind w:firstLine="420" w:firstLineChars="200"/>
        <w:rPr>
          <w:rStyle w:val="31"/>
          <w:rFonts w:ascii="Times New Roman" w:hAnsi="Times New Roman"/>
        </w:rPr>
      </w:pPr>
      <w:r>
        <w:rPr>
          <w:rFonts w:ascii="Times New Roman" w:hAnsi="Times New Roman"/>
          <w:szCs w:val="21"/>
        </w:rPr>
        <w:t>合同生效后，买方在收到卖方</w:t>
      </w:r>
      <w:r>
        <w:rPr>
          <w:rFonts w:ascii="Times New Roman" w:hAnsi="Times New Roman"/>
          <w:szCs w:val="21"/>
          <w:lang w:val="zh-CN"/>
        </w:rPr>
        <w:t>开具</w:t>
      </w:r>
      <w:r>
        <w:rPr>
          <w:rFonts w:ascii="Times New Roman" w:hAnsi="Times New Roman"/>
          <w:lang w:val="zh-CN"/>
        </w:rPr>
        <w:t>的</w:t>
      </w:r>
      <w:r>
        <w:rPr>
          <w:rFonts w:ascii="Times New Roman" w:hAnsi="Times New Roman"/>
          <w:szCs w:val="21"/>
          <w:lang w:val="zh-CN"/>
        </w:rPr>
        <w:t>注明应付预付款金额的财务收据正本一份</w:t>
      </w:r>
      <w:r>
        <w:rPr>
          <w:rFonts w:ascii="Times New Roman" w:hAnsi="Times New Roman"/>
          <w:szCs w:val="21"/>
        </w:rPr>
        <w:t>并经审核无误后28日内，向卖方支付签约合同价的10%</w:t>
      </w:r>
      <w:r>
        <w:rPr>
          <w:rStyle w:val="31"/>
          <w:rFonts w:ascii="Times New Roman" w:hAnsi="Times New Roman"/>
        </w:rPr>
        <w:t>作为预付款。</w:t>
      </w:r>
    </w:p>
    <w:p>
      <w:pPr>
        <w:spacing w:line="360" w:lineRule="auto"/>
        <w:ind w:firstLine="420" w:firstLineChars="200"/>
        <w:rPr>
          <w:rFonts w:ascii="Times New Roman" w:hAnsi="Times New Roman"/>
          <w:szCs w:val="21"/>
        </w:rPr>
      </w:pPr>
      <w:r>
        <w:rPr>
          <w:rStyle w:val="31"/>
          <w:rFonts w:ascii="Times New Roman" w:hAnsi="Times New Roman"/>
        </w:rPr>
        <w:t>买方支付预付款后，如卖方未履行合同义务，则买方有权收回预付款；如卖方依约履行了合同义务，则预付款抵作进度款。</w:t>
      </w:r>
    </w:p>
    <w:p>
      <w:pPr>
        <w:spacing w:line="360" w:lineRule="auto"/>
        <w:ind w:firstLine="420" w:firstLineChars="200"/>
        <w:rPr>
          <w:rFonts w:ascii="Times New Roman" w:hAnsi="Times New Roman"/>
          <w:szCs w:val="21"/>
        </w:rPr>
      </w:pPr>
      <w:r>
        <w:rPr>
          <w:rFonts w:ascii="Times New Roman" w:hAnsi="Times New Roman"/>
          <w:szCs w:val="21"/>
        </w:rPr>
        <w:t>3.2.2 进度款</w:t>
      </w:r>
    </w:p>
    <w:p>
      <w:pPr>
        <w:spacing w:line="360" w:lineRule="auto"/>
        <w:ind w:firstLine="420" w:firstLineChars="200"/>
        <w:rPr>
          <w:rFonts w:ascii="Times New Roman" w:hAnsi="Times New Roman"/>
          <w:szCs w:val="21"/>
        </w:rPr>
      </w:pPr>
      <w:r>
        <w:rPr>
          <w:rFonts w:ascii="Times New Roman" w:hAnsi="Times New Roman"/>
          <w:szCs w:val="21"/>
        </w:rPr>
        <w:t>卖方按照合同约定的进度交付合同材料并提供相关服务后，买方在收到卖方提交的下列单据并经审核无误后28日内，应向卖方支付进度款，进度款支付至该批次合同材料的合同价格的95%：</w:t>
      </w:r>
    </w:p>
    <w:p>
      <w:pPr>
        <w:spacing w:line="360" w:lineRule="auto"/>
        <w:ind w:firstLine="420" w:firstLineChars="200"/>
        <w:rPr>
          <w:rFonts w:ascii="Times New Roman" w:hAnsi="Times New Roman"/>
          <w:szCs w:val="21"/>
        </w:rPr>
      </w:pPr>
      <w:r>
        <w:rPr>
          <w:rFonts w:ascii="Times New Roman" w:hAnsi="Times New Roman"/>
          <w:szCs w:val="21"/>
        </w:rPr>
        <w:t>（1）卖方出具的交货清单正本一份；</w:t>
      </w:r>
    </w:p>
    <w:p>
      <w:pPr>
        <w:spacing w:line="360" w:lineRule="auto"/>
        <w:ind w:firstLine="420" w:firstLineChars="200"/>
        <w:rPr>
          <w:rFonts w:ascii="Times New Roman" w:hAnsi="Times New Roman"/>
          <w:szCs w:val="21"/>
        </w:rPr>
      </w:pPr>
      <w:r>
        <w:rPr>
          <w:rFonts w:ascii="Times New Roman" w:hAnsi="Times New Roman"/>
          <w:szCs w:val="21"/>
        </w:rPr>
        <w:t>（2）买方签署的收货清单正本一份；</w:t>
      </w:r>
    </w:p>
    <w:p>
      <w:pPr>
        <w:spacing w:line="360" w:lineRule="auto"/>
        <w:ind w:firstLine="420" w:firstLineChars="200"/>
        <w:rPr>
          <w:rFonts w:ascii="Times New Roman" w:hAnsi="Times New Roman"/>
          <w:szCs w:val="21"/>
        </w:rPr>
      </w:pPr>
      <w:r>
        <w:rPr>
          <w:rFonts w:ascii="Times New Roman" w:hAnsi="Times New Roman"/>
          <w:szCs w:val="21"/>
        </w:rPr>
        <w:t>（3）制造商出具的出厂质量合格证正本一份；</w:t>
      </w:r>
    </w:p>
    <w:p>
      <w:pPr>
        <w:spacing w:line="360" w:lineRule="auto"/>
        <w:ind w:firstLine="420" w:firstLineChars="200"/>
        <w:rPr>
          <w:rFonts w:ascii="Times New Roman" w:hAnsi="Times New Roman"/>
          <w:szCs w:val="21"/>
        </w:rPr>
      </w:pPr>
      <w:r>
        <w:rPr>
          <w:rFonts w:ascii="Times New Roman" w:hAnsi="Times New Roman"/>
          <w:szCs w:val="21"/>
        </w:rPr>
        <w:t>（4）合同材料验收证书或进度款支付函正本一份；</w:t>
      </w:r>
    </w:p>
    <w:p>
      <w:pPr>
        <w:spacing w:line="360" w:lineRule="auto"/>
        <w:ind w:firstLine="420" w:firstLineChars="200"/>
        <w:rPr>
          <w:rFonts w:ascii="Times New Roman" w:hAnsi="Times New Roman"/>
          <w:szCs w:val="21"/>
        </w:rPr>
      </w:pPr>
      <w:r>
        <w:rPr>
          <w:rFonts w:ascii="Times New Roman" w:hAnsi="Times New Roman"/>
          <w:szCs w:val="21"/>
        </w:rPr>
        <w:t>（5）合同价格100%金额的增值税发票正本一份。</w:t>
      </w:r>
    </w:p>
    <w:p>
      <w:pPr>
        <w:spacing w:line="360" w:lineRule="auto"/>
        <w:ind w:firstLine="420" w:firstLineChars="200"/>
        <w:rPr>
          <w:rFonts w:ascii="Times New Roman" w:hAnsi="Times New Roman"/>
          <w:szCs w:val="21"/>
        </w:rPr>
      </w:pPr>
      <w:r>
        <w:rPr>
          <w:rFonts w:ascii="Times New Roman" w:hAnsi="Times New Roman"/>
          <w:szCs w:val="21"/>
        </w:rPr>
        <w:t>3.2.3 结清款</w:t>
      </w:r>
    </w:p>
    <w:p>
      <w:pPr>
        <w:spacing w:line="360" w:lineRule="auto"/>
        <w:ind w:firstLine="420" w:firstLineChars="200"/>
        <w:rPr>
          <w:rFonts w:ascii="Times New Roman" w:hAnsi="Times New Roman"/>
          <w:szCs w:val="21"/>
        </w:rPr>
      </w:pPr>
      <w:r>
        <w:rPr>
          <w:rFonts w:ascii="Times New Roman" w:hAnsi="Times New Roman"/>
          <w:szCs w:val="21"/>
        </w:rPr>
        <w:t>全部合同材料质量保证期届满后，买方在收到卖方提交的由买方签署的质量保证期届满证书并经审核无误后28日内，向卖方支付合同价格5%的</w:t>
      </w:r>
      <w:r>
        <w:rPr>
          <w:rFonts w:ascii="Times New Roman" w:hAnsi="Times New Roman"/>
        </w:rPr>
        <w:t>结清款</w:t>
      </w:r>
      <w:r>
        <w:rPr>
          <w:rFonts w:ascii="Times New Roman" w:hAnsi="Times New Roman"/>
          <w:szCs w:val="21"/>
        </w:rPr>
        <w:t>。</w:t>
      </w:r>
    </w:p>
    <w:p>
      <w:pPr>
        <w:pStyle w:val="4"/>
        <w:spacing w:line="240" w:lineRule="auto"/>
        <w:ind w:firstLine="137"/>
        <w:rPr>
          <w:rFonts w:ascii="Times New Roman" w:hAnsi="Times New Roman"/>
          <w:color w:val="000000"/>
        </w:rPr>
      </w:pPr>
      <w:bookmarkStart w:id="481" w:name="_Toc369531651"/>
      <w:bookmarkStart w:id="482" w:name="_Toc382920053"/>
      <w:bookmarkStart w:id="483" w:name="_Toc307"/>
      <w:bookmarkStart w:id="484" w:name="_Toc9940"/>
      <w:r>
        <w:rPr>
          <w:rFonts w:ascii="Times New Roman" w:hAnsi="Times New Roman"/>
          <w:color w:val="000000"/>
        </w:rPr>
        <w:t xml:space="preserve">3.3 </w:t>
      </w:r>
      <w:r>
        <w:rPr>
          <w:rFonts w:hint="eastAsia" w:ascii="Times New Roman" w:hAnsi="Times New Roman"/>
          <w:color w:val="000000"/>
        </w:rPr>
        <w:t>买方扣款的权利</w:t>
      </w:r>
      <w:bookmarkEnd w:id="481"/>
      <w:bookmarkEnd w:id="482"/>
      <w:bookmarkEnd w:id="483"/>
      <w:bookmarkEnd w:id="484"/>
    </w:p>
    <w:bookmarkEnd w:id="471"/>
    <w:bookmarkEnd w:id="472"/>
    <w:bookmarkEnd w:id="473"/>
    <w:bookmarkEnd w:id="478"/>
    <w:p>
      <w:pPr>
        <w:spacing w:line="360" w:lineRule="auto"/>
        <w:ind w:firstLine="420" w:firstLineChars="200"/>
        <w:rPr>
          <w:rFonts w:ascii="Times New Roman" w:hAnsi="Times New Roman"/>
          <w:color w:val="000000"/>
          <w:szCs w:val="21"/>
        </w:rPr>
      </w:pPr>
      <w:bookmarkStart w:id="485" w:name="_Toc369531615"/>
      <w:bookmarkStart w:id="486" w:name="_Toc2816"/>
      <w:bookmarkStart w:id="487" w:name="_Toc382920054"/>
      <w:r>
        <w:rPr>
          <w:rFonts w:ascii="Times New Roman" w:hAnsi="Times New Roman"/>
          <w:color w:val="000000"/>
          <w:szCs w:val="21"/>
        </w:rPr>
        <w:t>当卖方应向买方支付合同项下的违约金或赔偿金时，买方有权从上述任何一笔应付款中予以直接扣除和（或）兑付履约保证金。</w:t>
      </w:r>
    </w:p>
    <w:p>
      <w:pPr>
        <w:pStyle w:val="3"/>
        <w:rPr>
          <w:rFonts w:ascii="Times New Roman" w:hAnsi="Times New Roman"/>
          <w:bCs/>
          <w:szCs w:val="32"/>
        </w:rPr>
      </w:pPr>
      <w:bookmarkStart w:id="488" w:name="_Toc28082"/>
      <w:r>
        <w:rPr>
          <w:rFonts w:ascii="Times New Roman" w:hAnsi="Times New Roman"/>
          <w:bCs/>
          <w:szCs w:val="32"/>
        </w:rPr>
        <w:t>4. 包装、标记、运输和</w:t>
      </w:r>
      <w:bookmarkEnd w:id="485"/>
      <w:r>
        <w:rPr>
          <w:rFonts w:ascii="Times New Roman" w:hAnsi="Times New Roman"/>
          <w:bCs/>
          <w:szCs w:val="32"/>
        </w:rPr>
        <w:t>交付</w:t>
      </w:r>
      <w:bookmarkEnd w:id="486"/>
      <w:bookmarkEnd w:id="487"/>
      <w:bookmarkEnd w:id="488"/>
    </w:p>
    <w:p>
      <w:pPr>
        <w:pStyle w:val="4"/>
        <w:spacing w:line="240" w:lineRule="auto"/>
        <w:ind w:firstLine="137"/>
        <w:rPr>
          <w:rFonts w:ascii="Times New Roman" w:hAnsi="Times New Roman"/>
          <w:color w:val="000000"/>
        </w:rPr>
      </w:pPr>
      <w:bookmarkStart w:id="489" w:name="_Toc27410"/>
      <w:bookmarkStart w:id="490" w:name="_Toc382920055"/>
      <w:bookmarkStart w:id="491" w:name="_Toc369531616"/>
      <w:bookmarkStart w:id="492" w:name="_Toc25769"/>
      <w:r>
        <w:rPr>
          <w:rFonts w:ascii="Times New Roman" w:hAnsi="Times New Roman"/>
          <w:color w:val="000000"/>
        </w:rPr>
        <w:t xml:space="preserve">4.1 </w:t>
      </w:r>
      <w:r>
        <w:rPr>
          <w:rFonts w:hint="eastAsia" w:ascii="Times New Roman" w:hAnsi="Times New Roman"/>
          <w:color w:val="000000"/>
        </w:rPr>
        <w:t>包装</w:t>
      </w:r>
      <w:bookmarkEnd w:id="489"/>
      <w:bookmarkEnd w:id="490"/>
      <w:bookmarkEnd w:id="491"/>
      <w:bookmarkEnd w:id="492"/>
    </w:p>
    <w:p>
      <w:pPr>
        <w:spacing w:line="360" w:lineRule="auto"/>
        <w:ind w:firstLine="420" w:firstLineChars="200"/>
        <w:rPr>
          <w:rFonts w:ascii="Times New Roman" w:hAnsi="Times New Roman"/>
          <w:szCs w:val="21"/>
        </w:rPr>
      </w:pPr>
      <w:r>
        <w:rPr>
          <w:rFonts w:ascii="Times New Roman" w:hAnsi="Times New Roman"/>
          <w:szCs w:val="21"/>
        </w:rPr>
        <w:t>4.1.1卖方应对合同材料进行妥善包装，以满足合同材料运至施工场地及在施工场地保管的需要。包装应采取防潮、防晒、防锈、防腐蚀、防震动及防止其它损坏的必要保护措施，从而保护合同材料能够经受多次搬运、装卸、长途运输并适宜保管。</w:t>
      </w:r>
    </w:p>
    <w:p>
      <w:pPr>
        <w:spacing w:line="360" w:lineRule="auto"/>
        <w:ind w:firstLine="420" w:firstLineChars="200"/>
        <w:rPr>
          <w:rFonts w:ascii="Times New Roman" w:hAnsi="Times New Roman"/>
          <w:szCs w:val="21"/>
        </w:rPr>
      </w:pPr>
      <w:r>
        <w:rPr>
          <w:rFonts w:ascii="Times New Roman" w:hAnsi="Times New Roman"/>
          <w:szCs w:val="21"/>
        </w:rPr>
        <w:t>4.1.2 除专用合同条款另有约定外，买方无需将包装物退还给卖方。</w:t>
      </w:r>
    </w:p>
    <w:p>
      <w:pPr>
        <w:pStyle w:val="4"/>
        <w:spacing w:line="240" w:lineRule="auto"/>
        <w:ind w:firstLine="137"/>
        <w:rPr>
          <w:rFonts w:ascii="Times New Roman" w:hAnsi="Times New Roman"/>
          <w:color w:val="000000"/>
        </w:rPr>
      </w:pPr>
      <w:bookmarkStart w:id="493" w:name="_Toc382920056"/>
      <w:bookmarkStart w:id="494" w:name="_Toc28814"/>
      <w:bookmarkStart w:id="495" w:name="_Toc369531617"/>
      <w:bookmarkStart w:id="496" w:name="_Toc23319"/>
      <w:r>
        <w:rPr>
          <w:rFonts w:ascii="Times New Roman" w:hAnsi="Times New Roman"/>
          <w:color w:val="000000"/>
        </w:rPr>
        <w:t xml:space="preserve">4.2 </w:t>
      </w:r>
      <w:r>
        <w:rPr>
          <w:rFonts w:hint="eastAsia" w:ascii="Times New Roman" w:hAnsi="Times New Roman"/>
          <w:color w:val="000000"/>
        </w:rPr>
        <w:t>标记</w:t>
      </w:r>
      <w:bookmarkEnd w:id="493"/>
      <w:bookmarkEnd w:id="494"/>
      <w:bookmarkEnd w:id="495"/>
      <w:bookmarkEnd w:id="496"/>
    </w:p>
    <w:p>
      <w:pPr>
        <w:spacing w:line="360" w:lineRule="auto"/>
        <w:ind w:firstLine="420" w:firstLineChars="200"/>
        <w:outlineLvl w:val="3"/>
        <w:rPr>
          <w:rFonts w:ascii="Times New Roman" w:hAnsi="Times New Roman"/>
          <w:szCs w:val="21"/>
        </w:rPr>
      </w:pPr>
      <w:r>
        <w:rPr>
          <w:rFonts w:ascii="Times New Roman" w:hAnsi="Times New Roman"/>
          <w:szCs w:val="21"/>
        </w:rPr>
        <w:t>4.2.1</w:t>
      </w:r>
      <w:r>
        <w:rPr>
          <w:rFonts w:hint="eastAsia" w:ascii="Times New Roman" w:hAnsi="Times New Roman"/>
          <w:szCs w:val="21"/>
        </w:rPr>
        <w:t xml:space="preserve"> </w:t>
      </w:r>
      <w:r>
        <w:rPr>
          <w:rFonts w:ascii="Times New Roman" w:hAnsi="Times New Roman"/>
          <w:szCs w:val="21"/>
        </w:rPr>
        <w:t>除专用合同条款另有约定外，卖方应按合同约定在材料包装上以不可擦除的、明显的方式作出必要的标记。</w:t>
      </w:r>
    </w:p>
    <w:p>
      <w:pPr>
        <w:spacing w:line="360" w:lineRule="auto"/>
        <w:ind w:firstLine="420" w:firstLineChars="200"/>
        <w:rPr>
          <w:rFonts w:ascii="Times New Roman" w:hAnsi="Times New Roman"/>
          <w:color w:val="000000"/>
        </w:rPr>
      </w:pPr>
      <w:r>
        <w:rPr>
          <w:rFonts w:ascii="Times New Roman" w:hAnsi="Times New Roman"/>
          <w:szCs w:val="21"/>
        </w:rPr>
        <w:t>4.2.2 根据合同材料的特点和运输、保管的不同要求，卖方应对合同材料清楚地标注“小心轻放”、“此端朝上，请勿倒置”、“保持干燥”等字样和其他适当标记。</w:t>
      </w:r>
      <w:r>
        <w:rPr>
          <w:rFonts w:ascii="Times New Roman" w:hAnsi="Times New Roman"/>
          <w:color w:val="000000"/>
        </w:rPr>
        <w:t>如果合同材料中含有易燃易爆物品、腐蚀物品、放射性物质等危险品，卖方应标明危险品标志。</w:t>
      </w:r>
    </w:p>
    <w:p>
      <w:pPr>
        <w:pStyle w:val="4"/>
        <w:spacing w:line="240" w:lineRule="auto"/>
        <w:ind w:firstLine="137"/>
        <w:rPr>
          <w:rFonts w:ascii="Times New Roman" w:hAnsi="Times New Roman"/>
          <w:color w:val="000000"/>
        </w:rPr>
      </w:pPr>
      <w:bookmarkStart w:id="497" w:name="_Toc21684"/>
      <w:bookmarkStart w:id="498" w:name="_Toc382920057"/>
      <w:bookmarkStart w:id="499" w:name="_Toc27584"/>
      <w:r>
        <w:rPr>
          <w:rFonts w:ascii="Times New Roman" w:hAnsi="Times New Roman"/>
          <w:color w:val="000000"/>
        </w:rPr>
        <w:t xml:space="preserve">4.3 </w:t>
      </w:r>
      <w:r>
        <w:rPr>
          <w:rFonts w:hint="eastAsia" w:ascii="Times New Roman" w:hAnsi="Times New Roman"/>
          <w:color w:val="000000"/>
        </w:rPr>
        <w:t>运输</w:t>
      </w:r>
      <w:bookmarkEnd w:id="497"/>
      <w:bookmarkEnd w:id="498"/>
      <w:bookmarkEnd w:id="499"/>
    </w:p>
    <w:p>
      <w:pPr>
        <w:spacing w:line="360" w:lineRule="auto"/>
        <w:ind w:firstLine="420" w:firstLineChars="200"/>
        <w:outlineLvl w:val="3"/>
        <w:rPr>
          <w:rFonts w:ascii="Times New Roman" w:hAnsi="Times New Roman"/>
          <w:szCs w:val="21"/>
        </w:rPr>
      </w:pPr>
      <w:r>
        <w:rPr>
          <w:rFonts w:ascii="Times New Roman" w:hAnsi="Times New Roman"/>
          <w:szCs w:val="21"/>
        </w:rPr>
        <w:t>4.3.1 卖方应自行选择适宜的运输工具及线路安排合同材料运输。</w:t>
      </w:r>
    </w:p>
    <w:p>
      <w:pPr>
        <w:spacing w:line="360" w:lineRule="auto"/>
        <w:ind w:firstLine="420" w:firstLineChars="200"/>
        <w:outlineLvl w:val="3"/>
        <w:rPr>
          <w:rFonts w:ascii="Times New Roman" w:hAnsi="Times New Roman"/>
          <w:szCs w:val="21"/>
        </w:rPr>
      </w:pPr>
      <w:r>
        <w:rPr>
          <w:rFonts w:ascii="Times New Roman" w:hAnsi="Times New Roman"/>
          <w:szCs w:val="21"/>
        </w:rPr>
        <w:t>4.3.2 除专用合同条款另有约定外，卖方应在合同材料预计启运7日前，将合同材料名称、装运材料数量、重量、体积（用m</w:t>
      </w:r>
      <w:r>
        <w:rPr>
          <w:rFonts w:ascii="Times New Roman" w:hAnsi="Times New Roman"/>
          <w:szCs w:val="21"/>
          <w:vertAlign w:val="superscript"/>
        </w:rPr>
        <w:t>3</w:t>
      </w:r>
      <w:r>
        <w:rPr>
          <w:rFonts w:ascii="Times New Roman" w:hAnsi="Times New Roman"/>
          <w:szCs w:val="21"/>
        </w:rPr>
        <w:t>表示）、合同材料单价、总金额、运输方式、预计交付日期和合同材料在装卸、保管中的注意事项等预通知买方，并在合同材料启运后24小时之内正式通知买方。</w:t>
      </w:r>
    </w:p>
    <w:p>
      <w:pPr>
        <w:spacing w:line="360" w:lineRule="auto"/>
        <w:ind w:firstLine="420"/>
        <w:outlineLvl w:val="3"/>
        <w:rPr>
          <w:rFonts w:ascii="Times New Roman" w:hAnsi="Times New Roman" w:eastAsia="黑体"/>
          <w:b/>
          <w:bCs/>
          <w:sz w:val="32"/>
          <w:szCs w:val="32"/>
        </w:rPr>
      </w:pPr>
      <w:r>
        <w:rPr>
          <w:rFonts w:ascii="Times New Roman" w:hAnsi="Times New Roman"/>
          <w:szCs w:val="21"/>
        </w:rPr>
        <w:t>4.3.3卖方在根据</w:t>
      </w:r>
      <w:r>
        <w:rPr>
          <w:rFonts w:hint="eastAsia" w:ascii="Times New Roman" w:hAnsi="Times New Roman"/>
          <w:szCs w:val="21"/>
        </w:rPr>
        <w:t>第</w:t>
      </w:r>
      <w:r>
        <w:rPr>
          <w:rFonts w:ascii="Times New Roman" w:hAnsi="Times New Roman"/>
          <w:szCs w:val="21"/>
        </w:rPr>
        <w:t>4.3.2项进行通知时，如果合同材料中包括单个包装超大和（或）超重的，卖方应将超大</w:t>
      </w:r>
      <w:r>
        <w:rPr>
          <w:rFonts w:ascii="Times New Roman" w:hAnsi="Times New Roman"/>
          <w:color w:val="000000"/>
        </w:rPr>
        <w:t>和（或）</w:t>
      </w:r>
      <w:r>
        <w:rPr>
          <w:rFonts w:ascii="Times New Roman" w:hAnsi="Times New Roman"/>
          <w:szCs w:val="21"/>
        </w:rPr>
        <w:t>超重的每个包装的重量和尺寸通知买方；如果合同材料中包括</w:t>
      </w:r>
      <w:r>
        <w:rPr>
          <w:rFonts w:ascii="Times New Roman" w:hAnsi="Times New Roman"/>
          <w:color w:val="000000"/>
        </w:rPr>
        <w:t>易燃易爆物品、腐蚀物品、放射性物质等危险品，则危险品的品名、性质、</w:t>
      </w:r>
      <w:r>
        <w:rPr>
          <w:rFonts w:ascii="Times New Roman" w:hAnsi="Times New Roman"/>
          <w:szCs w:val="21"/>
        </w:rPr>
        <w:t>在装卸、保管方面的特殊要求、注意事项和处理意外情况的方法等，也应一并通知买方。</w:t>
      </w:r>
    </w:p>
    <w:p>
      <w:pPr>
        <w:pStyle w:val="4"/>
        <w:spacing w:line="240" w:lineRule="auto"/>
        <w:ind w:firstLine="137"/>
        <w:rPr>
          <w:rFonts w:ascii="Times New Roman" w:hAnsi="Times New Roman"/>
          <w:color w:val="000000"/>
        </w:rPr>
      </w:pPr>
      <w:bookmarkStart w:id="500" w:name="_Toc369531622"/>
      <w:bookmarkStart w:id="501" w:name="_Toc382920058"/>
      <w:bookmarkStart w:id="502" w:name="_Toc16932"/>
      <w:bookmarkStart w:id="503" w:name="_Toc9052"/>
      <w:bookmarkStart w:id="504" w:name="_Toc247085799"/>
      <w:bookmarkStart w:id="505" w:name="_Toc246996284"/>
      <w:bookmarkStart w:id="506" w:name="_Toc246997027"/>
      <w:r>
        <w:rPr>
          <w:rFonts w:ascii="Times New Roman" w:hAnsi="Times New Roman"/>
          <w:color w:val="000000"/>
        </w:rPr>
        <w:t xml:space="preserve">4.4 </w:t>
      </w:r>
      <w:r>
        <w:rPr>
          <w:rFonts w:hint="eastAsia" w:ascii="Times New Roman" w:hAnsi="Times New Roman"/>
          <w:color w:val="000000"/>
        </w:rPr>
        <w:t>交付</w:t>
      </w:r>
      <w:bookmarkEnd w:id="500"/>
      <w:bookmarkEnd w:id="501"/>
      <w:bookmarkEnd w:id="502"/>
      <w:bookmarkEnd w:id="503"/>
    </w:p>
    <w:p>
      <w:pPr>
        <w:spacing w:line="360" w:lineRule="auto"/>
        <w:ind w:firstLine="420" w:firstLineChars="200"/>
        <w:rPr>
          <w:rFonts w:ascii="Times New Roman" w:hAnsi="Times New Roman"/>
          <w:szCs w:val="21"/>
        </w:rPr>
      </w:pPr>
      <w:bookmarkStart w:id="507" w:name="OLE_LINK73"/>
      <w:bookmarkStart w:id="508" w:name="OLE_LINK72"/>
      <w:r>
        <w:rPr>
          <w:rFonts w:ascii="Times New Roman" w:hAnsi="Times New Roman"/>
          <w:szCs w:val="21"/>
        </w:rPr>
        <w:t>4.4.1</w:t>
      </w:r>
      <w:r>
        <w:rPr>
          <w:rFonts w:hint="eastAsia" w:ascii="Times New Roman" w:hAnsi="Times New Roman"/>
          <w:szCs w:val="21"/>
        </w:rPr>
        <w:t xml:space="preserve"> </w:t>
      </w:r>
      <w:r>
        <w:rPr>
          <w:rFonts w:ascii="Times New Roman" w:hAnsi="Times New Roman"/>
          <w:szCs w:val="21"/>
        </w:rPr>
        <w:t>除专用合同条款另有约定外，卖方应根据合同约定的交付时间和批次在施工场地卸货后将合同材料交付给买方，买方对卖方交付的合同材料的外观及件数进行清点核验后应签发收货清单。买方签发收货清单不代表对合同材料的接受，双方还应按合同约定进行后续的检验和验收。</w:t>
      </w:r>
    </w:p>
    <w:p>
      <w:pPr>
        <w:spacing w:line="360" w:lineRule="auto"/>
        <w:ind w:firstLine="420" w:firstLineChars="200"/>
        <w:rPr>
          <w:rFonts w:ascii="Times New Roman" w:hAnsi="Times New Roman"/>
          <w:szCs w:val="21"/>
        </w:rPr>
      </w:pPr>
      <w:r>
        <w:rPr>
          <w:rFonts w:ascii="Times New Roman" w:hAnsi="Times New Roman"/>
          <w:szCs w:val="21"/>
        </w:rPr>
        <w:t>4.4.2 合同材料的所有权和风险自交付时起由卖方转移至买方，合同</w:t>
      </w:r>
      <w:r>
        <w:rPr>
          <w:rFonts w:ascii="Times New Roman" w:hAnsi="Times New Roman"/>
        </w:rPr>
        <w:t>材料交付给买方</w:t>
      </w:r>
      <w:r>
        <w:rPr>
          <w:rFonts w:ascii="Times New Roman" w:hAnsi="Times New Roman"/>
          <w:szCs w:val="21"/>
        </w:rPr>
        <w:t>之前包括运输在内的所有风险均由卖方承担。</w:t>
      </w:r>
    </w:p>
    <w:p>
      <w:pPr>
        <w:spacing w:line="360" w:lineRule="auto"/>
        <w:ind w:firstLine="420" w:firstLineChars="200"/>
        <w:rPr>
          <w:rFonts w:ascii="Times New Roman" w:hAnsi="Times New Roman"/>
          <w:szCs w:val="21"/>
        </w:rPr>
      </w:pPr>
      <w:r>
        <w:rPr>
          <w:rFonts w:ascii="Times New Roman" w:hAnsi="Times New Roman"/>
          <w:szCs w:val="21"/>
        </w:rPr>
        <w:t>4.4.3</w:t>
      </w:r>
      <w:r>
        <w:rPr>
          <w:rFonts w:hint="eastAsia" w:ascii="Times New Roman" w:hAnsi="Times New Roman"/>
          <w:szCs w:val="21"/>
        </w:rPr>
        <w:t xml:space="preserve"> </w:t>
      </w:r>
      <w:r>
        <w:rPr>
          <w:rFonts w:ascii="Times New Roman" w:hAnsi="Times New Roman"/>
          <w:szCs w:val="21"/>
        </w:rPr>
        <w:t>除专用合同条款另有约定外，买方如果发现技术资料存在短缺和（或）损坏，卖方应在收到买方的通知后7日内免费补齐短缺和（或）损坏的部分。如果买方发现卖方提供的技术资料有误，卖方应在收到买方通知后7日内免费替换。如由于买方原因导致技术资料丢失和（或）损坏，卖方应在收到买方的通知后7日内补齐丢失（和）或损坏的部分，但买方应向卖方支付合理的复制、邮寄费用。</w:t>
      </w:r>
    </w:p>
    <w:bookmarkEnd w:id="504"/>
    <w:bookmarkEnd w:id="505"/>
    <w:bookmarkEnd w:id="506"/>
    <w:bookmarkEnd w:id="507"/>
    <w:bookmarkEnd w:id="508"/>
    <w:p>
      <w:pPr>
        <w:pStyle w:val="3"/>
        <w:rPr>
          <w:rFonts w:ascii="Times New Roman" w:hAnsi="Times New Roman"/>
          <w:bCs/>
          <w:szCs w:val="32"/>
        </w:rPr>
      </w:pPr>
      <w:bookmarkStart w:id="509" w:name="_Toc382920060"/>
      <w:bookmarkStart w:id="510" w:name="_Toc12143"/>
      <w:bookmarkStart w:id="511" w:name="_Toc1310"/>
      <w:r>
        <w:rPr>
          <w:rFonts w:ascii="Times New Roman" w:hAnsi="Times New Roman"/>
          <w:bCs/>
          <w:szCs w:val="32"/>
        </w:rPr>
        <w:t>5. 检验和验收</w:t>
      </w:r>
      <w:bookmarkEnd w:id="509"/>
      <w:bookmarkEnd w:id="510"/>
      <w:bookmarkEnd w:id="511"/>
    </w:p>
    <w:p>
      <w:pPr>
        <w:spacing w:line="360" w:lineRule="auto"/>
        <w:ind w:firstLine="420" w:firstLineChars="200"/>
        <w:outlineLvl w:val="3"/>
        <w:rPr>
          <w:rFonts w:ascii="Times New Roman" w:hAnsi="Times New Roman"/>
          <w:szCs w:val="21"/>
        </w:rPr>
      </w:pPr>
      <w:r>
        <w:rPr>
          <w:rFonts w:ascii="Times New Roman" w:hAnsi="Times New Roman"/>
          <w:szCs w:val="21"/>
        </w:rPr>
        <w:t>5.1 合同材料交付前，卖方应对其进行全面检验，并在交付合同材料时向买方提交合同材料的质量合格证书。</w:t>
      </w:r>
    </w:p>
    <w:p>
      <w:pPr>
        <w:spacing w:line="360" w:lineRule="auto"/>
        <w:ind w:firstLine="420" w:firstLineChars="200"/>
        <w:outlineLvl w:val="3"/>
        <w:rPr>
          <w:rFonts w:ascii="Times New Roman" w:hAnsi="Times New Roman"/>
          <w:szCs w:val="21"/>
        </w:rPr>
      </w:pPr>
      <w:r>
        <w:rPr>
          <w:rFonts w:ascii="Times New Roman" w:hAnsi="Times New Roman"/>
          <w:szCs w:val="21"/>
        </w:rPr>
        <w:t>5.2 合同材料交付后，买方应在专用合同条款约定的期限内安排对合同材料的规格、质量等进行检验，检验按照专用合同条款约定的下列一种方式进行：</w:t>
      </w:r>
    </w:p>
    <w:p>
      <w:pPr>
        <w:spacing w:line="360" w:lineRule="auto"/>
        <w:ind w:firstLine="420" w:firstLineChars="200"/>
        <w:outlineLvl w:val="3"/>
        <w:rPr>
          <w:rFonts w:ascii="Times New Roman" w:hAnsi="Times New Roman"/>
          <w:szCs w:val="21"/>
        </w:rPr>
      </w:pPr>
      <w:r>
        <w:rPr>
          <w:rFonts w:ascii="Times New Roman" w:hAnsi="Times New Roman"/>
          <w:szCs w:val="21"/>
        </w:rPr>
        <w:t>（1）由买方对合同材料进行检验；</w:t>
      </w:r>
    </w:p>
    <w:p>
      <w:pPr>
        <w:spacing w:line="360" w:lineRule="auto"/>
        <w:ind w:firstLine="420" w:firstLineChars="200"/>
        <w:outlineLvl w:val="3"/>
        <w:rPr>
          <w:rFonts w:ascii="Times New Roman" w:hAnsi="Times New Roman"/>
          <w:szCs w:val="21"/>
        </w:rPr>
      </w:pPr>
      <w:r>
        <w:rPr>
          <w:rFonts w:ascii="Times New Roman" w:hAnsi="Times New Roman"/>
          <w:szCs w:val="21"/>
        </w:rPr>
        <w:t>（2）由专用合同条款约定的拥有资质的第三方检验机构对合同材料进行检验；</w:t>
      </w:r>
    </w:p>
    <w:p>
      <w:pPr>
        <w:spacing w:line="360" w:lineRule="auto"/>
        <w:ind w:firstLine="420" w:firstLineChars="200"/>
        <w:outlineLvl w:val="3"/>
        <w:rPr>
          <w:rFonts w:ascii="Times New Roman" w:hAnsi="Times New Roman"/>
          <w:szCs w:val="21"/>
        </w:rPr>
      </w:pPr>
      <w:r>
        <w:rPr>
          <w:rFonts w:ascii="Times New Roman" w:hAnsi="Times New Roman"/>
          <w:szCs w:val="21"/>
        </w:rPr>
        <w:t>（3）专用合同条款约定的其他方式。</w:t>
      </w:r>
    </w:p>
    <w:p>
      <w:pPr>
        <w:spacing w:line="360" w:lineRule="auto"/>
        <w:ind w:firstLine="420" w:firstLineChars="200"/>
        <w:outlineLvl w:val="3"/>
        <w:rPr>
          <w:rFonts w:ascii="Times New Roman" w:hAnsi="Times New Roman"/>
          <w:szCs w:val="21"/>
        </w:rPr>
      </w:pPr>
      <w:r>
        <w:rPr>
          <w:rFonts w:ascii="Times New Roman" w:hAnsi="Times New Roman"/>
          <w:szCs w:val="21"/>
        </w:rPr>
        <w:t>5.3 买方应在检验日期3日前将检验的时间和地点通知卖方，卖方应自负费用派遣代表参加检验。若卖方未按买方通知到场参加检验，则检验可正常进行，卖方应接受对合同材料的检验结果。</w:t>
      </w:r>
    </w:p>
    <w:p>
      <w:pPr>
        <w:spacing w:line="360" w:lineRule="auto"/>
        <w:ind w:firstLine="420" w:firstLineChars="200"/>
        <w:outlineLvl w:val="3"/>
        <w:rPr>
          <w:rFonts w:ascii="Times New Roman" w:hAnsi="Times New Roman"/>
          <w:szCs w:val="21"/>
        </w:rPr>
      </w:pPr>
      <w:r>
        <w:rPr>
          <w:rFonts w:ascii="Times New Roman" w:hAnsi="Times New Roman"/>
          <w:szCs w:val="21"/>
        </w:rPr>
        <w:t>5.4 合同材料经检验合格，</w:t>
      </w:r>
      <w:r>
        <w:rPr>
          <w:rFonts w:ascii="Times New Roman" w:hAnsi="Times New Roman"/>
          <w:szCs w:val="24"/>
        </w:rPr>
        <w:t>买卖双方应</w:t>
      </w:r>
      <w:r>
        <w:rPr>
          <w:rFonts w:ascii="Times New Roman" w:hAnsi="Times New Roman"/>
          <w:szCs w:val="21"/>
        </w:rPr>
        <w:t>签署合同材料验收证书一式二份，双方各持一份。</w:t>
      </w:r>
    </w:p>
    <w:p>
      <w:pPr>
        <w:spacing w:line="360" w:lineRule="auto"/>
        <w:ind w:firstLine="420" w:firstLineChars="200"/>
        <w:outlineLvl w:val="3"/>
        <w:rPr>
          <w:rFonts w:ascii="Times New Roman" w:hAnsi="Times New Roman"/>
          <w:szCs w:val="21"/>
        </w:rPr>
      </w:pPr>
      <w:r>
        <w:rPr>
          <w:rFonts w:ascii="Times New Roman" w:hAnsi="Times New Roman"/>
          <w:szCs w:val="21"/>
        </w:rPr>
        <w:t>5.5 若</w:t>
      </w:r>
      <w:r>
        <w:rPr>
          <w:rFonts w:ascii="Times New Roman" w:hAnsi="Times New Roman"/>
        </w:rPr>
        <w:t>合同约定了合同材料的最低质量标准，且合同材料经检验达到了合同约定的</w:t>
      </w:r>
      <w:r>
        <w:rPr>
          <w:rFonts w:ascii="Times New Roman" w:hAnsi="Times New Roman"/>
          <w:szCs w:val="21"/>
        </w:rPr>
        <w:t>最低质量标准的，视为合同材料符合质量标准，买方应验收合同材料，但卖方应按专用合同条款的约定进行减价或向买方支付补偿金。</w:t>
      </w:r>
    </w:p>
    <w:p>
      <w:pPr>
        <w:spacing w:line="360" w:lineRule="auto"/>
        <w:ind w:firstLine="420" w:firstLineChars="200"/>
        <w:outlineLvl w:val="3"/>
        <w:rPr>
          <w:rFonts w:ascii="Times New Roman" w:hAnsi="Times New Roman"/>
          <w:szCs w:val="21"/>
        </w:rPr>
      </w:pPr>
      <w:r>
        <w:rPr>
          <w:rFonts w:ascii="Times New Roman" w:hAnsi="Times New Roman"/>
          <w:szCs w:val="21"/>
        </w:rPr>
        <w:t>5.6</w:t>
      </w:r>
      <w:r>
        <w:rPr>
          <w:rFonts w:hint="eastAsia" w:ascii="Times New Roman" w:hAnsi="Times New Roman"/>
          <w:szCs w:val="21"/>
        </w:rPr>
        <w:t xml:space="preserve"> </w:t>
      </w:r>
      <w:r>
        <w:rPr>
          <w:rFonts w:ascii="Times New Roman" w:hAnsi="Times New Roman"/>
          <w:szCs w:val="21"/>
        </w:rPr>
        <w:t>合同材料由第三方检验机构进行检验的，第三方检验机构的检验结果对双方均具有约束力。</w:t>
      </w:r>
    </w:p>
    <w:p>
      <w:pPr>
        <w:spacing w:line="360" w:lineRule="auto"/>
        <w:ind w:firstLine="420" w:firstLineChars="200"/>
        <w:outlineLvl w:val="3"/>
        <w:rPr>
          <w:rFonts w:ascii="Times New Roman" w:hAnsi="Times New Roman"/>
          <w:szCs w:val="21"/>
        </w:rPr>
      </w:pPr>
      <w:r>
        <w:rPr>
          <w:rFonts w:ascii="Times New Roman" w:hAnsi="Times New Roman"/>
          <w:szCs w:val="21"/>
        </w:rPr>
        <w:t>5.7</w:t>
      </w:r>
      <w:r>
        <w:rPr>
          <w:rFonts w:hint="eastAsia" w:ascii="Times New Roman" w:hAnsi="Times New Roman"/>
          <w:szCs w:val="21"/>
        </w:rPr>
        <w:t xml:space="preserve"> </w:t>
      </w:r>
      <w:r>
        <w:rPr>
          <w:rFonts w:ascii="Times New Roman" w:hAnsi="Times New Roman"/>
          <w:szCs w:val="21"/>
        </w:rPr>
        <w:t>除专用合同条款另有约定外，买方在全部合同材料交付后3个月内未安排检验和验收的，卖方可签署</w:t>
      </w:r>
      <w:r>
        <w:rPr>
          <w:rStyle w:val="31"/>
          <w:rFonts w:ascii="Times New Roman" w:hAnsi="Times New Roman"/>
        </w:rPr>
        <w:t>进度款支付函提交买方，如买方在收到后7日内未提出书面异议，则进度款支付函自签署之日起生效。进度款支付函</w:t>
      </w:r>
      <w:r>
        <w:rPr>
          <w:rFonts w:ascii="Times New Roman" w:hAnsi="Times New Roman"/>
          <w:szCs w:val="21"/>
        </w:rPr>
        <w:t>的生效不免除卖方继续配合买方进行检验和验收的义务，合同材料验收后双方应签署合同材料验收证书。</w:t>
      </w:r>
    </w:p>
    <w:p>
      <w:pPr>
        <w:spacing w:line="360" w:lineRule="auto"/>
        <w:ind w:firstLine="420" w:firstLineChars="200"/>
        <w:outlineLvl w:val="3"/>
        <w:rPr>
          <w:rFonts w:ascii="Times New Roman" w:hAnsi="Times New Roman"/>
          <w:szCs w:val="21"/>
        </w:rPr>
      </w:pPr>
      <w:r>
        <w:rPr>
          <w:rFonts w:ascii="Times New Roman" w:hAnsi="Times New Roman"/>
          <w:szCs w:val="21"/>
        </w:rPr>
        <w:t>5.8 合同材料验收证书的签署不能免除卖方在质量保证期内对合同材料应承担的保证责任。</w:t>
      </w:r>
    </w:p>
    <w:p>
      <w:pPr>
        <w:pStyle w:val="3"/>
        <w:rPr>
          <w:rFonts w:ascii="Times New Roman" w:hAnsi="Times New Roman"/>
          <w:bCs/>
          <w:szCs w:val="32"/>
        </w:rPr>
      </w:pPr>
      <w:bookmarkStart w:id="512" w:name="_Toc7510"/>
      <w:bookmarkStart w:id="513" w:name="_Toc382920063"/>
      <w:bookmarkStart w:id="514" w:name="_Toc20349"/>
      <w:r>
        <w:rPr>
          <w:rFonts w:ascii="Times New Roman" w:hAnsi="Times New Roman"/>
          <w:bCs/>
          <w:szCs w:val="32"/>
        </w:rPr>
        <w:t>6. 相关服务</w:t>
      </w:r>
      <w:bookmarkEnd w:id="512"/>
      <w:bookmarkEnd w:id="513"/>
      <w:bookmarkEnd w:id="514"/>
    </w:p>
    <w:p>
      <w:pPr>
        <w:spacing w:line="360" w:lineRule="auto"/>
        <w:ind w:firstLine="420" w:firstLineChars="200"/>
        <w:outlineLvl w:val="9"/>
        <w:rPr>
          <w:rFonts w:ascii="Times New Roman" w:hAnsi="Times New Roman"/>
          <w:szCs w:val="21"/>
        </w:rPr>
      </w:pPr>
      <w:r>
        <w:rPr>
          <w:rFonts w:ascii="Times New Roman" w:hAnsi="Times New Roman"/>
          <w:szCs w:val="21"/>
        </w:rPr>
        <w:t>6.1</w:t>
      </w:r>
      <w:r>
        <w:rPr>
          <w:rFonts w:hint="eastAsia" w:ascii="Times New Roman" w:hAnsi="Times New Roman"/>
          <w:szCs w:val="21"/>
        </w:rPr>
        <w:t xml:space="preserve"> </w:t>
      </w:r>
      <w:r>
        <w:rPr>
          <w:rFonts w:ascii="Times New Roman" w:hAnsi="Times New Roman"/>
          <w:szCs w:val="21"/>
        </w:rPr>
        <w:t>卖方应配备充足的技术人员，并根据买方要求，通过进行电话联系或派遣技术熟练、称职的技术人员到施工场地为买方提供服务。如果卖方技术人员不合格，买方有权要求卖方撤换，因撤换而产生的费用应由卖方承担。</w:t>
      </w:r>
    </w:p>
    <w:p>
      <w:pPr>
        <w:spacing w:line="360" w:lineRule="auto"/>
        <w:ind w:firstLine="420" w:firstLineChars="200"/>
        <w:rPr>
          <w:rFonts w:ascii="Times New Roman" w:hAnsi="Times New Roman"/>
          <w:szCs w:val="21"/>
        </w:rPr>
      </w:pPr>
      <w:r>
        <w:rPr>
          <w:rFonts w:ascii="Times New Roman" w:hAnsi="Times New Roman"/>
          <w:szCs w:val="24"/>
        </w:rPr>
        <w:t>6.2</w:t>
      </w:r>
      <w:r>
        <w:rPr>
          <w:rFonts w:hint="eastAsia" w:ascii="Times New Roman" w:hAnsi="Times New Roman"/>
          <w:szCs w:val="24"/>
        </w:rPr>
        <w:t xml:space="preserve"> </w:t>
      </w:r>
      <w:r>
        <w:rPr>
          <w:rFonts w:ascii="Times New Roman" w:hAnsi="Times New Roman"/>
          <w:szCs w:val="21"/>
        </w:rPr>
        <w:t>买方应免费为卖方技术人员提供工作条件及便利，包括但不限于必要的办公场所、技术资料及出入许可等。除专用合同条款另有约定外，卖方技术人员的交通、食宿费用由卖方承担。</w:t>
      </w:r>
    </w:p>
    <w:p>
      <w:pPr>
        <w:pStyle w:val="3"/>
        <w:rPr>
          <w:rFonts w:ascii="Times New Roman" w:hAnsi="Times New Roman"/>
          <w:bCs/>
          <w:szCs w:val="32"/>
        </w:rPr>
      </w:pPr>
      <w:bookmarkStart w:id="515" w:name="_Toc22250"/>
      <w:bookmarkStart w:id="516" w:name="_Toc382920064"/>
      <w:bookmarkStart w:id="517" w:name="_Toc16161"/>
      <w:r>
        <w:rPr>
          <w:rFonts w:ascii="Times New Roman" w:hAnsi="Times New Roman"/>
          <w:bCs/>
          <w:szCs w:val="32"/>
        </w:rPr>
        <w:t>7. 质量保证期</w:t>
      </w:r>
      <w:bookmarkEnd w:id="515"/>
      <w:bookmarkEnd w:id="516"/>
      <w:bookmarkEnd w:id="517"/>
    </w:p>
    <w:p>
      <w:pPr>
        <w:spacing w:line="360" w:lineRule="auto"/>
        <w:ind w:firstLine="420" w:firstLineChars="200"/>
        <w:rPr>
          <w:rFonts w:ascii="Times New Roman" w:hAnsi="Times New Roman"/>
          <w:szCs w:val="21"/>
        </w:rPr>
      </w:pPr>
      <w:r>
        <w:rPr>
          <w:rFonts w:ascii="Times New Roman" w:hAnsi="Times New Roman"/>
          <w:szCs w:val="21"/>
        </w:rPr>
        <w:t>7.1 除专用合同条款和（或）供货要求等合同文件另有约定外，合同材料的质量保证期自合同材料验收之日起算，至合同材料验收证书或</w:t>
      </w:r>
      <w:r>
        <w:rPr>
          <w:rStyle w:val="31"/>
          <w:rFonts w:ascii="Times New Roman" w:hAnsi="Times New Roman"/>
        </w:rPr>
        <w:t>进度款支付函</w:t>
      </w:r>
      <w:r>
        <w:rPr>
          <w:rFonts w:ascii="Times New Roman" w:hAnsi="Times New Roman"/>
          <w:szCs w:val="21"/>
        </w:rPr>
        <w:t>签署之日起12个月止（以先到的为准）。</w:t>
      </w:r>
    </w:p>
    <w:p>
      <w:pPr>
        <w:spacing w:line="360" w:lineRule="auto"/>
        <w:ind w:firstLine="435"/>
        <w:rPr>
          <w:rFonts w:ascii="Times New Roman" w:hAnsi="Times New Roman"/>
          <w:szCs w:val="21"/>
        </w:rPr>
      </w:pPr>
      <w:r>
        <w:rPr>
          <w:rFonts w:ascii="Times New Roman" w:hAnsi="Times New Roman"/>
          <w:szCs w:val="21"/>
        </w:rPr>
        <w:t>7.2 除非因买方使用不当，合同材料在质量保证期内如破损、变质或被发现存在任何质量问题，卖方应负责对合同材料进行修补和退换。更换的合同材料的质量保证期应重新计算。</w:t>
      </w:r>
    </w:p>
    <w:p>
      <w:pPr>
        <w:spacing w:line="360" w:lineRule="auto"/>
        <w:ind w:firstLine="435"/>
        <w:rPr>
          <w:rFonts w:ascii="Times New Roman" w:hAnsi="Times New Roman"/>
          <w:szCs w:val="21"/>
        </w:rPr>
      </w:pPr>
      <w:r>
        <w:rPr>
          <w:rFonts w:ascii="Times New Roman" w:hAnsi="Times New Roman"/>
          <w:szCs w:val="21"/>
        </w:rPr>
        <w:t>7.3 质量保证期届满且卖方按照合同约定履行完毕质量保证期内义务后，买方应在7日内向卖方出具合同材料的质量保证期届满证书。</w:t>
      </w:r>
    </w:p>
    <w:p>
      <w:pPr>
        <w:spacing w:line="360" w:lineRule="auto"/>
        <w:ind w:firstLine="435"/>
        <w:rPr>
          <w:rFonts w:ascii="Times New Roman" w:hAnsi="Times New Roman"/>
          <w:szCs w:val="21"/>
        </w:rPr>
      </w:pPr>
    </w:p>
    <w:p>
      <w:pPr>
        <w:pStyle w:val="3"/>
        <w:rPr>
          <w:rFonts w:ascii="Times New Roman" w:hAnsi="Times New Roman"/>
          <w:bCs/>
          <w:szCs w:val="32"/>
        </w:rPr>
      </w:pPr>
      <w:bookmarkStart w:id="518" w:name="_Toc27579"/>
      <w:bookmarkStart w:id="519" w:name="_Toc13239"/>
      <w:bookmarkStart w:id="520" w:name="_Toc382920065"/>
      <w:r>
        <w:rPr>
          <w:rFonts w:ascii="Times New Roman" w:hAnsi="Times New Roman"/>
          <w:bCs/>
          <w:szCs w:val="32"/>
        </w:rPr>
        <w:t>8. 履约保证金</w:t>
      </w:r>
      <w:bookmarkEnd w:id="518"/>
      <w:bookmarkEnd w:id="519"/>
      <w:bookmarkEnd w:id="520"/>
    </w:p>
    <w:p>
      <w:pPr>
        <w:spacing w:line="360" w:lineRule="auto"/>
        <w:ind w:firstLine="420" w:firstLineChars="200"/>
        <w:outlineLvl w:val="9"/>
        <w:rPr>
          <w:rFonts w:ascii="Times New Roman" w:hAnsi="Times New Roman"/>
          <w:szCs w:val="21"/>
        </w:rPr>
      </w:pPr>
      <w:bookmarkStart w:id="521" w:name="_Toc382920068"/>
      <w:bookmarkStart w:id="522" w:name="_Toc25297"/>
      <w:bookmarkStart w:id="523" w:name="_Toc369531660"/>
      <w:r>
        <w:rPr>
          <w:rFonts w:ascii="Times New Roman" w:hAnsi="Times New Roman"/>
          <w:szCs w:val="21"/>
        </w:rPr>
        <w:t>除专用合同条款另有约定外，履约保证金自合同生效之日起生效，在合同材料验收证书或</w:t>
      </w:r>
      <w:r>
        <w:rPr>
          <w:rStyle w:val="31"/>
          <w:rFonts w:ascii="Times New Roman" w:hAnsi="Times New Roman"/>
        </w:rPr>
        <w:t>进度款支付函</w:t>
      </w:r>
      <w:r>
        <w:rPr>
          <w:rFonts w:ascii="Times New Roman" w:hAnsi="Times New Roman"/>
          <w:szCs w:val="21"/>
        </w:rPr>
        <w:t>签署之日起28日后失效。如果卖方不履行合同约定的义务或其履行不符合合同的约定，买方有权扣划相应金额的履约保证金。</w:t>
      </w:r>
    </w:p>
    <w:p>
      <w:pPr>
        <w:pStyle w:val="3"/>
        <w:rPr>
          <w:rFonts w:ascii="Times New Roman" w:hAnsi="Times New Roman"/>
          <w:bCs/>
          <w:szCs w:val="32"/>
        </w:rPr>
      </w:pPr>
      <w:bookmarkStart w:id="524" w:name="_Toc20463"/>
      <w:r>
        <w:rPr>
          <w:rFonts w:ascii="Times New Roman" w:hAnsi="Times New Roman"/>
          <w:bCs/>
          <w:szCs w:val="32"/>
        </w:rPr>
        <w:t>9. 保证</w:t>
      </w:r>
      <w:bookmarkEnd w:id="521"/>
      <w:bookmarkEnd w:id="522"/>
      <w:bookmarkEnd w:id="523"/>
      <w:bookmarkEnd w:id="524"/>
    </w:p>
    <w:p>
      <w:pPr>
        <w:spacing w:line="360" w:lineRule="auto"/>
        <w:ind w:firstLine="420" w:firstLineChars="200"/>
        <w:rPr>
          <w:rFonts w:ascii="Times New Roman" w:hAnsi="Times New Roman"/>
          <w:szCs w:val="21"/>
        </w:rPr>
      </w:pPr>
      <w:r>
        <w:rPr>
          <w:rFonts w:ascii="Times New Roman" w:hAnsi="Times New Roman"/>
          <w:szCs w:val="21"/>
        </w:rPr>
        <w:t>9.1 卖方保证其具有完全的能力履行本合同项下的全部义务。</w:t>
      </w:r>
    </w:p>
    <w:p>
      <w:pPr>
        <w:spacing w:line="360" w:lineRule="auto"/>
        <w:ind w:firstLine="420" w:firstLineChars="200"/>
        <w:rPr>
          <w:rFonts w:ascii="Times New Roman" w:hAnsi="Times New Roman"/>
          <w:szCs w:val="21"/>
        </w:rPr>
      </w:pPr>
      <w:r>
        <w:rPr>
          <w:rFonts w:ascii="Times New Roman" w:hAnsi="Times New Roman"/>
          <w:szCs w:val="21"/>
        </w:rPr>
        <w:t>9.2</w:t>
      </w:r>
      <w:r>
        <w:rPr>
          <w:rFonts w:hint="eastAsia" w:ascii="Times New Roman" w:hAnsi="Times New Roman"/>
          <w:szCs w:val="21"/>
        </w:rPr>
        <w:t xml:space="preserve"> </w:t>
      </w:r>
      <w:r>
        <w:rPr>
          <w:rFonts w:ascii="Times New Roman" w:hAnsi="Times New Roman"/>
          <w:szCs w:val="21"/>
        </w:rPr>
        <w:t>卖方保证其所提供的合同材料及对合同的履行符合所有应适用的法律、行政法规、地方性法规、自治条例和单行条例、规章及其他规范性文件的强制性规定。</w:t>
      </w:r>
    </w:p>
    <w:p>
      <w:pPr>
        <w:spacing w:line="360" w:lineRule="auto"/>
        <w:ind w:firstLine="420" w:firstLineChars="200"/>
        <w:rPr>
          <w:rFonts w:ascii="Times New Roman" w:hAnsi="Times New Roman"/>
          <w:szCs w:val="21"/>
        </w:rPr>
      </w:pPr>
      <w:r>
        <w:rPr>
          <w:rFonts w:ascii="Times New Roman" w:hAnsi="Times New Roman"/>
          <w:szCs w:val="21"/>
        </w:rPr>
        <w:t>9.3</w:t>
      </w:r>
      <w:r>
        <w:rPr>
          <w:rFonts w:hint="eastAsia" w:ascii="Times New Roman" w:hAnsi="Times New Roman"/>
          <w:szCs w:val="21"/>
        </w:rPr>
        <w:t xml:space="preserve"> </w:t>
      </w:r>
      <w:r>
        <w:rPr>
          <w:rFonts w:ascii="Times New Roman" w:hAnsi="Times New Roman"/>
          <w:szCs w:val="21"/>
        </w:rPr>
        <w:t>卖方保证其对合同材料的销售不损害任何第三方的合法权益和社会公众利益。任何第三方不会因卖方原因而基于所有权、抵押权、留置权或其他任何权利或事由对合同材料主张权利。</w:t>
      </w:r>
    </w:p>
    <w:p>
      <w:pPr>
        <w:spacing w:line="360" w:lineRule="auto"/>
        <w:ind w:firstLine="420" w:firstLineChars="200"/>
        <w:rPr>
          <w:rFonts w:ascii="Times New Roman" w:hAnsi="Times New Roman"/>
          <w:szCs w:val="21"/>
        </w:rPr>
      </w:pPr>
      <w:r>
        <w:rPr>
          <w:rFonts w:ascii="Times New Roman" w:hAnsi="Times New Roman"/>
          <w:szCs w:val="21"/>
        </w:rPr>
        <w:t>9.4 卖方保证合同材料符合合同约定的规格、质量标准，并且全新、完整，能够安全使用，除非专用合同条款和（或）供货要求等合同文件另有约定。</w:t>
      </w:r>
    </w:p>
    <w:p>
      <w:pPr>
        <w:spacing w:line="360" w:lineRule="auto"/>
        <w:ind w:firstLine="420" w:firstLineChars="200"/>
        <w:rPr>
          <w:rFonts w:ascii="Times New Roman" w:hAnsi="Times New Roman"/>
          <w:szCs w:val="21"/>
        </w:rPr>
      </w:pPr>
      <w:r>
        <w:rPr>
          <w:rFonts w:ascii="Times New Roman" w:hAnsi="Times New Roman"/>
          <w:szCs w:val="21"/>
        </w:rPr>
        <w:t>9.5</w:t>
      </w:r>
      <w:r>
        <w:rPr>
          <w:rFonts w:hint="eastAsia" w:ascii="Times New Roman" w:hAnsi="Times New Roman"/>
          <w:szCs w:val="21"/>
        </w:rPr>
        <w:t xml:space="preserve"> </w:t>
      </w:r>
      <w:r>
        <w:rPr>
          <w:rFonts w:ascii="Times New Roman" w:hAnsi="Times New Roman"/>
          <w:szCs w:val="21"/>
        </w:rPr>
        <w:t>卖方保证，卖方所提供的技术资料完整、清晰、准确，符合合同约定并且能够满足买方使用合同材料的需要。</w:t>
      </w:r>
    </w:p>
    <w:p>
      <w:pPr>
        <w:tabs>
          <w:tab w:val="left" w:pos="0"/>
          <w:tab w:val="decimal" w:pos="6240"/>
          <w:tab w:val="right" w:leader="dot" w:pos="10800"/>
        </w:tabs>
        <w:autoSpaceDE w:val="0"/>
        <w:autoSpaceDN w:val="0"/>
        <w:adjustRightInd w:val="0"/>
        <w:spacing w:line="360" w:lineRule="auto"/>
        <w:ind w:right="23" w:firstLine="420" w:firstLineChars="200"/>
        <w:rPr>
          <w:rFonts w:ascii="Times New Roman" w:hAnsi="Times New Roman"/>
          <w:szCs w:val="21"/>
        </w:rPr>
      </w:pPr>
      <w:r>
        <w:rPr>
          <w:rFonts w:ascii="Times New Roman" w:hAnsi="Times New Roman"/>
          <w:szCs w:val="21"/>
        </w:rPr>
        <w:t xml:space="preserve">9.6 </w:t>
      </w:r>
      <w:r>
        <w:rPr>
          <w:rFonts w:ascii="Times New Roman" w:hAnsi="Times New Roman"/>
          <w:szCs w:val="24"/>
        </w:rPr>
        <w:t>卖方保证，在合同材料使用寿命期内，</w:t>
      </w:r>
      <w:bookmarkStart w:id="525" w:name="_Toc247085826"/>
      <w:bookmarkStart w:id="526" w:name="_Toc296602556"/>
      <w:bookmarkStart w:id="527" w:name="_Toc246997054"/>
      <w:bookmarkStart w:id="528" w:name="_Toc246996311"/>
      <w:bookmarkStart w:id="529" w:name="_Toc184635115"/>
      <w:r>
        <w:rPr>
          <w:rFonts w:ascii="Times New Roman" w:hAnsi="Times New Roman"/>
          <w:szCs w:val="24"/>
        </w:rPr>
        <w:t>如果卖方发现合同材料存在足以危及人身、财产安全的</w:t>
      </w:r>
      <w:bookmarkEnd w:id="525"/>
      <w:bookmarkEnd w:id="526"/>
      <w:bookmarkEnd w:id="527"/>
      <w:bookmarkEnd w:id="528"/>
      <w:bookmarkEnd w:id="529"/>
      <w:r>
        <w:rPr>
          <w:rFonts w:ascii="Times New Roman" w:hAnsi="Times New Roman"/>
          <w:szCs w:val="24"/>
        </w:rPr>
        <w:t>缺陷，卖方将及时通知买方并及时采取修补、更换等措施消除缺陷。</w:t>
      </w:r>
    </w:p>
    <w:p>
      <w:pPr>
        <w:pStyle w:val="3"/>
        <w:rPr>
          <w:rFonts w:ascii="Times New Roman" w:hAnsi="Times New Roman"/>
        </w:rPr>
      </w:pPr>
      <w:bookmarkStart w:id="530" w:name="_Toc382920069"/>
      <w:bookmarkStart w:id="531" w:name="_Toc127"/>
      <w:bookmarkStart w:id="532" w:name="_Toc300835186"/>
      <w:bookmarkStart w:id="533" w:name="_Toc247514184"/>
      <w:bookmarkStart w:id="534" w:name="_Toc247527785"/>
      <w:bookmarkStart w:id="535" w:name="_Toc370676403"/>
      <w:bookmarkStart w:id="536" w:name="_Toc3981"/>
      <w:bookmarkStart w:id="537" w:name="_Toc369531668"/>
      <w:r>
        <w:rPr>
          <w:rFonts w:ascii="Times New Roman" w:hAnsi="Times New Roman"/>
        </w:rPr>
        <w:t>10. 违约</w:t>
      </w:r>
      <w:bookmarkEnd w:id="530"/>
      <w:bookmarkEnd w:id="531"/>
      <w:bookmarkEnd w:id="532"/>
      <w:bookmarkEnd w:id="533"/>
      <w:bookmarkEnd w:id="534"/>
      <w:bookmarkEnd w:id="535"/>
      <w:r>
        <w:rPr>
          <w:rFonts w:ascii="Times New Roman" w:hAnsi="Times New Roman"/>
        </w:rPr>
        <w:t>责任</w:t>
      </w:r>
      <w:bookmarkEnd w:id="536"/>
    </w:p>
    <w:p>
      <w:pPr>
        <w:spacing w:line="360" w:lineRule="auto"/>
        <w:ind w:firstLine="420" w:firstLineChars="200"/>
        <w:rPr>
          <w:rFonts w:ascii="Times New Roman" w:hAnsi="Times New Roman"/>
          <w:szCs w:val="21"/>
        </w:rPr>
      </w:pPr>
      <w:r>
        <w:rPr>
          <w:rFonts w:ascii="Times New Roman" w:hAnsi="Times New Roman"/>
          <w:szCs w:val="21"/>
        </w:rPr>
        <w:t>10.1 合同一方不履行合同义务、履行合同义务不符合约定或者违反合同项下所作保证的，应向对方承担继续履行、采取补救措施或者赔偿损失等违约责任。</w:t>
      </w:r>
    </w:p>
    <w:p>
      <w:pPr>
        <w:spacing w:line="360" w:lineRule="auto"/>
        <w:ind w:firstLine="420" w:firstLineChars="200"/>
        <w:rPr>
          <w:rFonts w:ascii="Times New Roman" w:hAnsi="Times New Roman"/>
        </w:rPr>
      </w:pPr>
      <w:r>
        <w:rPr>
          <w:rFonts w:ascii="Times New Roman" w:hAnsi="Times New Roman"/>
        </w:rPr>
        <w:t>10.2 卖方未能按时交付合同材料的，应向买方支付迟延交货违约金。卖方支付迟延交货违约金，</w:t>
      </w:r>
      <w:r>
        <w:rPr>
          <w:rFonts w:ascii="Times New Roman" w:hAnsi="Times New Roman"/>
          <w:szCs w:val="21"/>
        </w:rPr>
        <w:t>不能免除其继续交付合同材料的义务。</w:t>
      </w:r>
      <w:r>
        <w:rPr>
          <w:rFonts w:ascii="Times New Roman" w:hAnsi="Times New Roman"/>
        </w:rPr>
        <w:t>除专用合同条款另有约定外，迟延交付违约金计算方法如下：</w:t>
      </w:r>
    </w:p>
    <w:p>
      <w:pPr>
        <w:spacing w:line="360" w:lineRule="auto"/>
        <w:ind w:firstLine="420" w:firstLineChars="200"/>
        <w:rPr>
          <w:rFonts w:ascii="Times New Roman" w:hAnsi="Times New Roman"/>
          <w:szCs w:val="21"/>
        </w:rPr>
      </w:pPr>
      <w:r>
        <w:rPr>
          <w:rFonts w:ascii="Times New Roman" w:hAnsi="Times New Roman"/>
          <w:szCs w:val="21"/>
        </w:rPr>
        <w:t>延迟交付违约金=延迟交付材料金额×</w:t>
      </w:r>
      <w:r>
        <w:rPr>
          <w:rFonts w:ascii="Times New Roman" w:hAnsi="Times New Roman"/>
        </w:rPr>
        <w:t>0.08%</w:t>
      </w:r>
      <w:r>
        <w:rPr>
          <w:rFonts w:ascii="Times New Roman" w:hAnsi="Times New Roman"/>
          <w:szCs w:val="21"/>
        </w:rPr>
        <w:t>×延迟交货天数。</w:t>
      </w:r>
    </w:p>
    <w:p>
      <w:pPr>
        <w:spacing w:line="360" w:lineRule="auto"/>
        <w:ind w:firstLine="420" w:firstLineChars="200"/>
        <w:rPr>
          <w:rFonts w:ascii="Times New Roman" w:hAnsi="Times New Roman"/>
          <w:szCs w:val="21"/>
        </w:rPr>
      </w:pPr>
      <w:r>
        <w:rPr>
          <w:rFonts w:ascii="Times New Roman" w:hAnsi="Times New Roman"/>
        </w:rPr>
        <w:t>迟延交付违约金的最高限额为合同价格的10%。</w:t>
      </w:r>
    </w:p>
    <w:p>
      <w:pPr>
        <w:spacing w:line="360" w:lineRule="auto"/>
        <w:ind w:firstLine="420" w:firstLineChars="200"/>
        <w:rPr>
          <w:rFonts w:ascii="Times New Roman" w:hAnsi="Times New Roman"/>
        </w:rPr>
      </w:pPr>
      <w:r>
        <w:rPr>
          <w:rFonts w:ascii="Times New Roman" w:hAnsi="Times New Roman"/>
        </w:rPr>
        <w:t>10.3</w:t>
      </w:r>
      <w:r>
        <w:rPr>
          <w:rFonts w:hint="eastAsia" w:ascii="Times New Roman" w:hAnsi="Times New Roman"/>
        </w:rPr>
        <w:t xml:space="preserve"> </w:t>
      </w:r>
      <w:r>
        <w:rPr>
          <w:rFonts w:ascii="Times New Roman" w:hAnsi="Times New Roman"/>
        </w:rPr>
        <w:t>买方未能按合同约定支付</w:t>
      </w:r>
      <w:r>
        <w:rPr>
          <w:rFonts w:hint="eastAsia" w:ascii="Times New Roman" w:hAnsi="Times New Roman"/>
        </w:rPr>
        <w:t>合同</w:t>
      </w:r>
      <w:r>
        <w:rPr>
          <w:rFonts w:ascii="Times New Roman" w:hAnsi="Times New Roman"/>
        </w:rPr>
        <w:t>价款</w:t>
      </w:r>
      <w:r>
        <w:rPr>
          <w:rFonts w:hint="eastAsia" w:ascii="Times New Roman" w:hAnsi="Times New Roman"/>
        </w:rPr>
        <w:t>的</w:t>
      </w:r>
      <w:r>
        <w:rPr>
          <w:rFonts w:ascii="Times New Roman" w:hAnsi="Times New Roman"/>
        </w:rPr>
        <w:t>，应向卖方支付延迟付款违约金</w:t>
      </w:r>
      <w:r>
        <w:rPr>
          <w:rFonts w:ascii="Times New Roman" w:hAnsi="Times New Roman"/>
          <w:szCs w:val="21"/>
        </w:rPr>
        <w:t>。除专用合同条款另有约定外，迟延付款违约金的计算方法如下：</w:t>
      </w:r>
    </w:p>
    <w:p>
      <w:pPr>
        <w:spacing w:line="360" w:lineRule="auto"/>
        <w:ind w:firstLine="420" w:firstLineChars="200"/>
        <w:rPr>
          <w:rFonts w:ascii="Times New Roman" w:hAnsi="Times New Roman"/>
          <w:szCs w:val="21"/>
        </w:rPr>
      </w:pPr>
      <w:r>
        <w:rPr>
          <w:rFonts w:ascii="Times New Roman" w:hAnsi="Times New Roman"/>
          <w:szCs w:val="21"/>
        </w:rPr>
        <w:t>延迟付款违约金=延迟付款金额×</w:t>
      </w:r>
      <w:r>
        <w:rPr>
          <w:rFonts w:ascii="Times New Roman" w:hAnsi="Times New Roman"/>
        </w:rPr>
        <w:t>0.08%</w:t>
      </w:r>
      <w:r>
        <w:rPr>
          <w:rFonts w:ascii="Times New Roman" w:hAnsi="Times New Roman"/>
          <w:szCs w:val="21"/>
        </w:rPr>
        <w:t>×延迟付款天数。</w:t>
      </w:r>
    </w:p>
    <w:p>
      <w:pPr>
        <w:spacing w:line="360" w:lineRule="auto"/>
        <w:ind w:firstLine="420" w:firstLineChars="200"/>
        <w:rPr>
          <w:rFonts w:ascii="Times New Roman" w:hAnsi="Times New Roman"/>
          <w:szCs w:val="21"/>
        </w:rPr>
      </w:pPr>
      <w:r>
        <w:rPr>
          <w:rFonts w:ascii="Times New Roman" w:hAnsi="Times New Roman"/>
          <w:szCs w:val="21"/>
        </w:rPr>
        <w:t>迟延付款违约金的总额不得超过合同价格的10%。</w:t>
      </w:r>
    </w:p>
    <w:p>
      <w:pPr>
        <w:pStyle w:val="3"/>
        <w:rPr>
          <w:rFonts w:ascii="Times New Roman" w:hAnsi="Times New Roman"/>
        </w:rPr>
      </w:pPr>
      <w:bookmarkStart w:id="538" w:name="_Toc382920074"/>
      <w:bookmarkStart w:id="539" w:name="_Toc21304"/>
      <w:bookmarkStart w:id="540" w:name="_Toc20342"/>
      <w:r>
        <w:rPr>
          <w:rFonts w:ascii="Times New Roman" w:hAnsi="Times New Roman"/>
        </w:rPr>
        <w:t xml:space="preserve">11. </w:t>
      </w:r>
      <w:bookmarkEnd w:id="538"/>
      <w:bookmarkEnd w:id="539"/>
      <w:r>
        <w:rPr>
          <w:rFonts w:ascii="Times New Roman" w:hAnsi="Times New Roman"/>
        </w:rPr>
        <w:t>合同的解除</w:t>
      </w:r>
      <w:bookmarkEnd w:id="540"/>
    </w:p>
    <w:bookmarkEnd w:id="537"/>
    <w:p>
      <w:pPr>
        <w:spacing w:line="360" w:lineRule="auto"/>
        <w:ind w:firstLine="420" w:firstLineChars="200"/>
        <w:rPr>
          <w:rFonts w:ascii="Times New Roman" w:hAnsi="Times New Roman"/>
          <w:szCs w:val="21"/>
        </w:rPr>
      </w:pPr>
      <w:r>
        <w:rPr>
          <w:rFonts w:ascii="Times New Roman" w:hAnsi="Times New Roman"/>
          <w:szCs w:val="21"/>
        </w:rPr>
        <w:t>除专用合同条款另有约定外，</w:t>
      </w:r>
      <w:r>
        <w:rPr>
          <w:rFonts w:ascii="Times New Roman" w:hAnsi="Times New Roman"/>
        </w:rPr>
        <w:t>有下述情形之一，当事人可</w:t>
      </w:r>
      <w:r>
        <w:rPr>
          <w:rFonts w:ascii="Times New Roman" w:hAnsi="Times New Roman"/>
          <w:szCs w:val="21"/>
        </w:rPr>
        <w:t>发出书面通知全部或部分地解除合同</w:t>
      </w:r>
      <w:r>
        <w:rPr>
          <w:rFonts w:ascii="Times New Roman" w:hAnsi="Times New Roman"/>
        </w:rPr>
        <w:t>，</w:t>
      </w:r>
      <w:r>
        <w:rPr>
          <w:rFonts w:ascii="Times New Roman" w:hAnsi="Times New Roman"/>
          <w:szCs w:val="21"/>
        </w:rPr>
        <w:t>合同自通知到达对方时全部或部分地解除：</w:t>
      </w:r>
    </w:p>
    <w:p>
      <w:pPr>
        <w:spacing w:line="360" w:lineRule="auto"/>
        <w:ind w:firstLine="420" w:firstLineChars="200"/>
        <w:rPr>
          <w:rFonts w:ascii="Times New Roman" w:hAnsi="Times New Roman"/>
        </w:rPr>
      </w:pPr>
      <w:r>
        <w:rPr>
          <w:rFonts w:ascii="Times New Roman" w:hAnsi="Times New Roman"/>
        </w:rPr>
        <w:t>（1）合同一方当事人无法继续履行或明确表示不履行或实质上已停止履行合同；</w:t>
      </w:r>
    </w:p>
    <w:p>
      <w:pPr>
        <w:spacing w:line="360" w:lineRule="auto"/>
        <w:ind w:firstLine="420" w:firstLineChars="200"/>
        <w:rPr>
          <w:rFonts w:ascii="Times New Roman" w:hAnsi="Times New Roman"/>
        </w:rPr>
      </w:pPr>
      <w:r>
        <w:rPr>
          <w:rFonts w:ascii="Times New Roman" w:hAnsi="Times New Roman"/>
        </w:rPr>
        <w:t>（2）合同一方当事人</w:t>
      </w:r>
      <w:r>
        <w:rPr>
          <w:rFonts w:ascii="Times New Roman" w:hAnsi="Times New Roman"/>
          <w:szCs w:val="21"/>
        </w:rPr>
        <w:t>需支付的违约金已达合同约定的最高限额；</w:t>
      </w:r>
    </w:p>
    <w:p>
      <w:pPr>
        <w:spacing w:line="360" w:lineRule="auto"/>
        <w:ind w:firstLine="420" w:firstLineChars="200"/>
        <w:rPr>
          <w:rFonts w:ascii="Times New Roman" w:hAnsi="Times New Roman"/>
          <w:szCs w:val="21"/>
        </w:rPr>
      </w:pPr>
      <w:r>
        <w:rPr>
          <w:rFonts w:ascii="Times New Roman" w:hAnsi="Times New Roman"/>
          <w:szCs w:val="21"/>
        </w:rPr>
        <w:t>（3）合同材料未能达到质量标准，或在合同约定了最低质量标准时，不能达到最低质量标准；</w:t>
      </w:r>
    </w:p>
    <w:p>
      <w:pPr>
        <w:spacing w:line="360" w:lineRule="auto"/>
        <w:ind w:firstLine="420" w:firstLineChars="200"/>
        <w:rPr>
          <w:rFonts w:ascii="Times New Roman" w:hAnsi="Times New Roman"/>
          <w:szCs w:val="21"/>
        </w:rPr>
      </w:pPr>
      <w:r>
        <w:rPr>
          <w:rFonts w:ascii="Times New Roman" w:hAnsi="Times New Roman"/>
          <w:szCs w:val="21"/>
        </w:rPr>
        <w:t>（4）合同一方当事人出现破产、清算、资不抵债、成为失信被执行人等可能丧失履约能力的情形，且未能提供令对方满意的履约保证金；</w:t>
      </w:r>
    </w:p>
    <w:p>
      <w:pPr>
        <w:spacing w:line="360" w:lineRule="auto"/>
        <w:ind w:firstLine="420" w:firstLineChars="200"/>
        <w:rPr>
          <w:rFonts w:ascii="Times New Roman" w:hAnsi="Times New Roman"/>
        </w:rPr>
      </w:pPr>
      <w:r>
        <w:rPr>
          <w:rFonts w:ascii="Times New Roman" w:hAnsi="Times New Roman"/>
          <w:szCs w:val="21"/>
        </w:rPr>
        <w:t>（5）因不可抗力不能实现合同目的。</w:t>
      </w:r>
    </w:p>
    <w:p>
      <w:pPr>
        <w:pStyle w:val="3"/>
        <w:rPr>
          <w:rFonts w:ascii="Times New Roman" w:hAnsi="Times New Roman"/>
          <w:bCs/>
          <w:szCs w:val="32"/>
        </w:rPr>
      </w:pPr>
      <w:bookmarkStart w:id="541" w:name="_Toc2341"/>
      <w:bookmarkStart w:id="542" w:name="_Toc2382"/>
      <w:bookmarkStart w:id="543" w:name="_Toc382920075"/>
      <w:r>
        <w:rPr>
          <w:rFonts w:ascii="Times New Roman" w:hAnsi="Times New Roman"/>
          <w:bCs/>
          <w:szCs w:val="32"/>
        </w:rPr>
        <w:t>12. 争议的解决</w:t>
      </w:r>
      <w:bookmarkEnd w:id="541"/>
      <w:bookmarkEnd w:id="542"/>
      <w:bookmarkEnd w:id="543"/>
    </w:p>
    <w:p>
      <w:pPr>
        <w:spacing w:line="360" w:lineRule="auto"/>
        <w:ind w:firstLine="420" w:firstLineChars="200"/>
        <w:rPr>
          <w:rFonts w:ascii="Times New Roman" w:hAnsi="Times New Roman"/>
          <w:szCs w:val="21"/>
        </w:rPr>
      </w:pPr>
      <w:r>
        <w:rPr>
          <w:rFonts w:ascii="Times New Roman" w:hAnsi="Times New Roman"/>
          <w:color w:val="000000"/>
          <w:shd w:val="clear" w:color="auto" w:fill="FFFFFF"/>
        </w:rPr>
        <w:t>因本合同引起的或与本合同有关的任何争议,</w:t>
      </w:r>
      <w:r>
        <w:rPr>
          <w:rFonts w:ascii="Times New Roman" w:hAnsi="Times New Roman"/>
          <w:szCs w:val="21"/>
        </w:rPr>
        <w:t>双方可通过友好协商解决。友好协商解决不成的，可在专用合同条款中约定下列一种方式解决：</w:t>
      </w:r>
    </w:p>
    <w:p>
      <w:pPr>
        <w:spacing w:line="360" w:lineRule="auto"/>
        <w:ind w:firstLine="420" w:firstLineChars="200"/>
        <w:rPr>
          <w:rFonts w:ascii="Times New Roman" w:hAnsi="Times New Roman"/>
          <w:szCs w:val="21"/>
        </w:rPr>
      </w:pPr>
      <w:r>
        <w:rPr>
          <w:rFonts w:ascii="Times New Roman" w:hAnsi="Times New Roman"/>
          <w:szCs w:val="21"/>
        </w:rPr>
        <w:t>（1）向约定的仲裁委员会申请仲裁；</w:t>
      </w:r>
    </w:p>
    <w:p>
      <w:pPr>
        <w:spacing w:line="360" w:lineRule="auto"/>
        <w:ind w:firstLine="420" w:firstLineChars="200"/>
        <w:rPr>
          <w:rFonts w:ascii="Times New Roman" w:hAnsi="Times New Roman"/>
          <w:szCs w:val="21"/>
        </w:rPr>
      </w:pPr>
      <w:r>
        <w:rPr>
          <w:rFonts w:ascii="Times New Roman" w:hAnsi="Times New Roman"/>
          <w:szCs w:val="21"/>
        </w:rPr>
        <w:t>（2）向有管辖权的人民法院提起诉讼。</w:t>
      </w:r>
    </w:p>
    <w:p>
      <w:pPr>
        <w:outlineLvl w:val="9"/>
        <w:rPr>
          <w:rFonts w:ascii="Times New Roman" w:hAnsi="Times New Roman"/>
          <w:color w:val="000000"/>
        </w:rPr>
      </w:pPr>
      <w:r>
        <w:rPr>
          <w:rFonts w:ascii="Times New Roman" w:hAnsi="Times New Roman"/>
          <w:color w:val="000000"/>
        </w:rPr>
        <w:br w:type="page"/>
      </w:r>
      <w:bookmarkStart w:id="544" w:name="_Toc179632785"/>
      <w:bookmarkStart w:id="545" w:name="_Toc152042546"/>
      <w:bookmarkStart w:id="546" w:name="_Toc144974826"/>
      <w:bookmarkStart w:id="547" w:name="_Toc152045767"/>
      <w:bookmarkStart w:id="548" w:name="_Toc152045610"/>
      <w:bookmarkStart w:id="549" w:name="_Toc184635122"/>
      <w:bookmarkStart w:id="550" w:name="_Toc247527798"/>
      <w:bookmarkStart w:id="551" w:name="_Toc144974578"/>
      <w:bookmarkStart w:id="552" w:name="_Toc247514197"/>
      <w:bookmarkStart w:id="553" w:name="_Toc152042388"/>
      <w:bookmarkStart w:id="554" w:name="_Toc300835199"/>
    </w:p>
    <w:p>
      <w:pPr>
        <w:pStyle w:val="3"/>
        <w:ind w:firstLine="643" w:firstLineChars="200"/>
        <w:jc w:val="center"/>
        <w:rPr>
          <w:rFonts w:ascii="Times New Roman" w:hAnsi="Times New Roman"/>
          <w:color w:val="000000"/>
        </w:rPr>
      </w:pPr>
      <w:bookmarkStart w:id="555" w:name="_Toc20165"/>
      <w:r>
        <w:rPr>
          <w:rFonts w:ascii="Times New Roman" w:hAnsi="Times New Roman"/>
          <w:color w:val="000000"/>
        </w:rPr>
        <w:t>第二节专用合同条款</w:t>
      </w:r>
      <w:bookmarkEnd w:id="555"/>
    </w:p>
    <w:p>
      <w:pPr>
        <w:ind w:firstLine="105"/>
        <w:outlineLvl w:val="9"/>
        <w:rPr>
          <w:rFonts w:ascii="Times New Roman" w:hAnsi="Times New Roman"/>
          <w:color w:val="000000"/>
        </w:rPr>
      </w:pPr>
      <w:r>
        <w:rPr>
          <w:rFonts w:ascii="Times New Roman" w:hAnsi="Times New Roman"/>
          <w:color w:val="000000"/>
        </w:rPr>
        <w:br w:type="page"/>
      </w:r>
      <w:bookmarkStart w:id="556" w:name="_Toc246997062"/>
      <w:bookmarkEnd w:id="556"/>
      <w:bookmarkStart w:id="557" w:name="_Toc29298"/>
      <w:bookmarkEnd w:id="557"/>
      <w:bookmarkStart w:id="558" w:name="_Toc369531676"/>
      <w:bookmarkEnd w:id="558"/>
      <w:bookmarkStart w:id="559" w:name="_Toc246996319"/>
      <w:bookmarkEnd w:id="559"/>
      <w:bookmarkStart w:id="560" w:name="_Toc184635117"/>
      <w:bookmarkEnd w:id="560"/>
      <w:bookmarkStart w:id="561" w:name="_Toc9766"/>
      <w:bookmarkEnd w:id="561"/>
      <w:bookmarkStart w:id="562" w:name="_Toc369531675"/>
      <w:bookmarkEnd w:id="562"/>
      <w:bookmarkStart w:id="563" w:name="_Toc247085834"/>
      <w:bookmarkEnd w:id="563"/>
      <w:bookmarkStart w:id="564" w:name="_Toc296602565"/>
      <w:bookmarkEnd w:id="564"/>
    </w:p>
    <w:p>
      <w:pPr>
        <w:pStyle w:val="3"/>
        <w:ind w:firstLine="643" w:firstLineChars="200"/>
        <w:jc w:val="center"/>
        <w:rPr>
          <w:rFonts w:ascii="Times New Roman" w:hAnsi="Times New Roman"/>
          <w:color w:val="000000"/>
        </w:rPr>
      </w:pPr>
      <w:bookmarkStart w:id="565" w:name="_Toc18698"/>
      <w:r>
        <w:rPr>
          <w:rFonts w:ascii="Times New Roman" w:hAnsi="Times New Roman"/>
          <w:color w:val="000000"/>
        </w:rPr>
        <w:t>第三节合同附件格式</w:t>
      </w:r>
      <w:bookmarkEnd w:id="565"/>
    </w:p>
    <w:p>
      <w:pPr>
        <w:pStyle w:val="4"/>
        <w:ind w:firstLine="137"/>
        <w:jc w:val="left"/>
        <w:rPr>
          <w:rFonts w:ascii="Times New Roman" w:hAnsi="Times New Roman"/>
          <w:color w:val="000000"/>
        </w:rPr>
      </w:pPr>
      <w:r>
        <w:rPr>
          <w:rFonts w:ascii="Times New Roman" w:hAnsi="Times New Roman"/>
          <w:color w:val="000000"/>
        </w:rPr>
        <w:br w:type="page"/>
      </w:r>
      <w:bookmarkStart w:id="566" w:name="_Toc20290"/>
      <w:r>
        <w:rPr>
          <w:rFonts w:ascii="Times New Roman" w:hAnsi="Times New Roman"/>
          <w:color w:val="000000"/>
        </w:rPr>
        <w:t>附件一：合同协议书</w:t>
      </w:r>
      <w:bookmarkEnd w:id="566"/>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（买方名称，以下简称“买方”）为获得</w:t>
      </w:r>
      <w:r>
        <w:rPr>
          <w:rFonts w:ascii="Times New Roman" w:hAnsi="Times New Roman"/>
          <w:szCs w:val="21"/>
          <w:u w:val="single"/>
        </w:rPr>
        <w:t xml:space="preserve">                </w:t>
      </w:r>
      <w:r>
        <w:rPr>
          <w:rFonts w:ascii="Times New Roman" w:hAnsi="Times New Roman"/>
          <w:szCs w:val="21"/>
        </w:rPr>
        <w:t>（项目名称）合同材料和相关服务，已接受</w:t>
      </w:r>
      <w:r>
        <w:rPr>
          <w:rFonts w:ascii="Times New Roman" w:hAnsi="Times New Roman"/>
          <w:szCs w:val="21"/>
          <w:u w:val="single"/>
        </w:rPr>
        <w:t xml:space="preserve">                    </w:t>
      </w:r>
      <w:r>
        <w:rPr>
          <w:rFonts w:ascii="Times New Roman" w:hAnsi="Times New Roman"/>
          <w:szCs w:val="21"/>
        </w:rPr>
        <w:t>（卖方名称，以下简称“卖方”）为提供上述合同材料和相关服务所作的投标，买方和卖方共同达成如下协议：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w:t>
      </w:r>
    </w:p>
    <w:p>
      <w:pPr>
        <w:spacing w:line="440" w:lineRule="exact"/>
        <w:ind w:firstLine="420" w:firstLineChars="200"/>
        <w:rPr>
          <w:rFonts w:ascii="Times New Roman" w:hAnsi="Times New Roman"/>
          <w:szCs w:val="21"/>
        </w:rPr>
      </w:pPr>
      <w:r>
        <w:rPr>
          <w:rFonts w:ascii="Times New Roman" w:hAnsi="Times New Roman"/>
          <w:szCs w:val="21"/>
        </w:rPr>
        <w:t>（3）商务和技术偏差表；</w:t>
      </w:r>
    </w:p>
    <w:p>
      <w:pPr>
        <w:spacing w:line="440" w:lineRule="exact"/>
        <w:ind w:firstLine="420" w:firstLineChars="200"/>
        <w:rPr>
          <w:rFonts w:ascii="Times New Roman" w:hAnsi="Times New Roman"/>
          <w:szCs w:val="21"/>
        </w:rPr>
      </w:pPr>
      <w:r>
        <w:rPr>
          <w:rFonts w:ascii="Times New Roman" w:hAnsi="Times New Roman"/>
          <w:szCs w:val="21"/>
        </w:rPr>
        <w:t>（4）专用合同条款；</w:t>
      </w:r>
    </w:p>
    <w:p>
      <w:pPr>
        <w:spacing w:line="440" w:lineRule="exact"/>
        <w:ind w:firstLine="420" w:firstLineChars="200"/>
        <w:rPr>
          <w:rFonts w:ascii="Times New Roman" w:hAnsi="Times New Roman"/>
          <w:szCs w:val="21"/>
        </w:rPr>
      </w:pPr>
      <w:r>
        <w:rPr>
          <w:rFonts w:ascii="Times New Roman" w:hAnsi="Times New Roman"/>
          <w:szCs w:val="21"/>
        </w:rPr>
        <w:t>（5）通用合同条款；</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）供货要求；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）分项报价表；</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8</w:t>
      </w:r>
      <w:r>
        <w:rPr>
          <w:rFonts w:ascii="Times New Roman" w:hAnsi="Times New Roman"/>
          <w:szCs w:val="21"/>
        </w:rPr>
        <w:t>）中标材料质量标准的详细描述；</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9</w:t>
      </w:r>
      <w:r>
        <w:rPr>
          <w:rFonts w:ascii="Times New Roman" w:hAnsi="Times New Roman"/>
          <w:szCs w:val="21"/>
        </w:rPr>
        <w:t>）相关服务计划；</w:t>
      </w:r>
    </w:p>
    <w:p>
      <w:pPr>
        <w:spacing w:line="440" w:lineRule="exact"/>
        <w:ind w:firstLine="420" w:firstLineChars="200"/>
        <w:rPr>
          <w:rFonts w:ascii="Times New Roman" w:hAnsi="Times New Roman"/>
          <w:szCs w:val="21"/>
        </w:rPr>
      </w:pPr>
      <w:r>
        <w:rPr>
          <w:rFonts w:ascii="Times New Roman" w:hAnsi="Times New Roman"/>
          <w:szCs w:val="21"/>
        </w:rPr>
        <w:t>（10）其他合同文件。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卖方承诺保证完全按照合同约定提供合同材料和相关服务并修补缺陷。</w:t>
      </w:r>
    </w:p>
    <w:p>
      <w:pPr>
        <w:spacing w:line="440" w:lineRule="exact"/>
        <w:ind w:firstLine="420" w:firstLineChars="200"/>
        <w:rPr>
          <w:rFonts w:ascii="Times New Roman" w:hAnsi="Times New Roman"/>
          <w:szCs w:val="21"/>
        </w:rPr>
      </w:pPr>
      <w:r>
        <w:rPr>
          <w:rFonts w:ascii="Times New Roman" w:hAnsi="Times New Roman"/>
          <w:szCs w:val="21"/>
        </w:rPr>
        <w:t>5. 买方承诺保证按照合同约定的条件、时间和方式向卖方支付合同价款。</w:t>
      </w:r>
    </w:p>
    <w:p>
      <w:pPr>
        <w:spacing w:line="440" w:lineRule="exact"/>
        <w:ind w:firstLine="420" w:firstLineChars="200"/>
        <w:rPr>
          <w:rFonts w:ascii="Times New Roman" w:hAnsi="Times New Roman"/>
          <w:szCs w:val="21"/>
        </w:rPr>
      </w:pPr>
      <w:r>
        <w:rPr>
          <w:rFonts w:ascii="Times New Roman" w:hAnsi="Times New Roman"/>
          <w:szCs w:val="21"/>
        </w:rPr>
        <w:t>6.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7. 合同未尽事宜，双方另行签订补充协议，补充协议是合同的组成部分。</w:t>
      </w:r>
    </w:p>
    <w:p>
      <w:pPr>
        <w:adjustRightInd w:val="0"/>
        <w:snapToGrid w:val="0"/>
        <w:rPr>
          <w:rFonts w:ascii="Times New Roman" w:hAnsi="Times New Roman"/>
          <w:szCs w:val="21"/>
        </w:rPr>
      </w:pP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买方：</w:t>
      </w:r>
      <w:r>
        <w:rPr>
          <w:rFonts w:ascii="Times New Roman" w:hAnsi="Times New Roman"/>
          <w:color w:val="000000"/>
          <w:u w:val="single"/>
        </w:rPr>
        <w:t xml:space="preserve">                                      </w:t>
      </w:r>
      <w:r>
        <w:rPr>
          <w:rFonts w:ascii="Times New Roman" w:hAnsi="Times New Roman"/>
          <w:szCs w:val="21"/>
        </w:rPr>
        <w:t>（盖单位章）</w:t>
      </w:r>
      <w:r>
        <w:rPr>
          <w:rFonts w:ascii="Times New Roman" w:hAnsi="Times New Roman"/>
          <w:szCs w:val="21"/>
        </w:rPr>
        <w:tab/>
      </w:r>
    </w:p>
    <w:p>
      <w:pPr>
        <w:tabs>
          <w:tab w:val="left" w:pos="4395"/>
        </w:tabs>
        <w:spacing w:line="440" w:lineRule="exact"/>
        <w:ind w:firstLine="2625" w:firstLineChars="125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szCs w:val="21"/>
        </w:rPr>
      </w:pPr>
      <w:r>
        <w:rPr>
          <w:rFonts w:ascii="Times New Roman" w:hAnsi="Times New Roman"/>
          <w:szCs w:val="21"/>
        </w:rPr>
        <w:tab/>
      </w: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tabs>
          <w:tab w:val="left" w:pos="4395"/>
        </w:tabs>
        <w:spacing w:line="440" w:lineRule="exact"/>
        <w:rPr>
          <w:rFonts w:ascii="Times New Roman" w:hAnsi="Times New Roman"/>
          <w:szCs w:val="21"/>
        </w:rPr>
      </w:pPr>
    </w:p>
    <w:p>
      <w:pPr>
        <w:tabs>
          <w:tab w:val="left" w:pos="4395"/>
        </w:tabs>
        <w:spacing w:line="440" w:lineRule="exact"/>
        <w:rPr>
          <w:rFonts w:ascii="Times New Roman" w:hAnsi="Times New Roman"/>
          <w:szCs w:val="21"/>
        </w:rPr>
      </w:pP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卖方：</w:t>
      </w:r>
      <w:r>
        <w:rPr>
          <w:rFonts w:ascii="Times New Roman" w:hAnsi="Times New Roman"/>
          <w:color w:val="000000"/>
          <w:u w:val="single"/>
        </w:rPr>
        <w:t xml:space="preserve">                                        </w:t>
      </w:r>
      <w:r>
        <w:rPr>
          <w:rFonts w:ascii="Times New Roman" w:hAnsi="Times New Roman"/>
          <w:szCs w:val="21"/>
        </w:rPr>
        <w:t>（盖单位章）</w:t>
      </w:r>
    </w:p>
    <w:p>
      <w:pPr>
        <w:tabs>
          <w:tab w:val="left" w:pos="4395"/>
        </w:tabs>
        <w:spacing w:line="440" w:lineRule="exact"/>
        <w:ind w:firstLine="2520" w:firstLineChars="1200"/>
        <w:rPr>
          <w:rFonts w:ascii="Times New Roman" w:hAnsi="Times New Roman"/>
          <w:szCs w:val="21"/>
        </w:rPr>
      </w:pPr>
      <w:r>
        <w:rPr>
          <w:rFonts w:ascii="Times New Roman" w:hAnsi="Times New Roman"/>
          <w:szCs w:val="21"/>
        </w:rPr>
        <w:t>法定代表人（单位负责人）或其委托代理人：</w:t>
      </w:r>
      <w:r>
        <w:rPr>
          <w:rFonts w:ascii="Times New Roman" w:hAnsi="Times New Roman"/>
          <w:color w:val="000000"/>
          <w:u w:val="single"/>
        </w:rPr>
        <w:t xml:space="preserve">          </w:t>
      </w:r>
      <w:r>
        <w:rPr>
          <w:rFonts w:ascii="Times New Roman" w:hAnsi="Times New Roman"/>
          <w:szCs w:val="21"/>
        </w:rPr>
        <w:t>（签字）</w:t>
      </w:r>
    </w:p>
    <w:p>
      <w:pPr>
        <w:spacing w:line="600" w:lineRule="exact"/>
        <w:ind w:firstLine="4258" w:firstLineChars="2028"/>
        <w:rPr>
          <w:rFonts w:ascii="Times New Roman" w:hAnsi="Times New Roman"/>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567" w:name="_Toc6706"/>
      <w:r>
        <w:rPr>
          <w:rFonts w:ascii="Times New Roman" w:hAnsi="Times New Roman"/>
        </w:rPr>
        <w:t>附件二：履约保证金格式</w:t>
      </w:r>
      <w:bookmarkEnd w:id="567"/>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jc w:val="center"/>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（买方名称）：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鉴于（买方名称，以下简称“买方”）接受（</w:t>
      </w:r>
      <w:r>
        <w:rPr>
          <w:rFonts w:ascii="Times New Roman" w:hAnsi="Times New Roman"/>
          <w:szCs w:val="21"/>
        </w:rPr>
        <w:t>卖方</w:t>
      </w:r>
      <w:r>
        <w:rPr>
          <w:rFonts w:ascii="Times New Roman" w:hAnsi="Times New Roman"/>
        </w:rPr>
        <w:t>名称，以下</w:t>
      </w:r>
      <w:r>
        <w:rPr>
          <w:rFonts w:ascii="Times New Roman" w:hAnsi="Times New Roman"/>
          <w:szCs w:val="21"/>
        </w:rPr>
        <w:t>称“卖方”</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hint="eastAsia" w:ascii="Times New Roman" w:hAnsi="Times New Roman"/>
          <w:color w:val="000000"/>
        </w:rPr>
        <w:t>（项目名称）</w:t>
      </w:r>
      <w:r>
        <w:rPr>
          <w:rFonts w:ascii="Times New Roman" w:hAnsi="Times New Roman"/>
          <w:color w:val="000000"/>
        </w:rPr>
        <w:t>材料采购招标项目</w:t>
      </w:r>
      <w:r>
        <w:rPr>
          <w:rFonts w:ascii="Times New Roman" w:hAnsi="Times New Roman"/>
        </w:rPr>
        <w:t>的投标。我方愿意无条件地、不可撤销地就</w:t>
      </w:r>
      <w:r>
        <w:rPr>
          <w:rFonts w:ascii="Times New Roman" w:hAnsi="Times New Roman"/>
          <w:szCs w:val="21"/>
        </w:rPr>
        <w:t>卖方</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rPr>
      </w:pPr>
      <w:r>
        <w:rPr>
          <w:rFonts w:ascii="Times New Roman" w:hAnsi="Times New Roman"/>
        </w:rPr>
        <w:t>2. 担保</w:t>
      </w:r>
      <w:r>
        <w:rPr>
          <w:rFonts w:ascii="Times New Roman" w:hAnsi="Times New Roman"/>
          <w:szCs w:val="21"/>
        </w:rPr>
        <w:t>有效期</w:t>
      </w:r>
      <w:r>
        <w:rPr>
          <w:rFonts w:ascii="Times New Roman" w:hAnsi="Times New Roman"/>
        </w:rPr>
        <w:t>自买方与</w:t>
      </w:r>
      <w:r>
        <w:rPr>
          <w:rFonts w:ascii="Times New Roman" w:hAnsi="Times New Roman"/>
          <w:szCs w:val="21"/>
        </w:rPr>
        <w:t>卖方</w:t>
      </w:r>
      <w:r>
        <w:rPr>
          <w:rFonts w:ascii="Times New Roman" w:hAnsi="Times New Roman"/>
        </w:rPr>
        <w:t>签订的合同生效之日起至合同材料验收证书或验收款支付函签署之日起28日后失效。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如果卖方不履行合同约定的义务或其履行不符合合同的约定，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买方和</w:t>
      </w:r>
      <w:r>
        <w:rPr>
          <w:rFonts w:ascii="Times New Roman" w:hAnsi="Times New Roman"/>
          <w:szCs w:val="21"/>
        </w:rPr>
        <w:t>卖方</w:t>
      </w:r>
      <w:r>
        <w:rPr>
          <w:rFonts w:ascii="Times New Roman" w:hAnsi="Times New Roman"/>
        </w:rPr>
        <w:t>变更合同时</w:t>
      </w:r>
      <w:bookmarkStart w:id="568" w:name="_Toc384308366"/>
      <w:bookmarkStart w:id="569" w:name="_Toc246996336"/>
      <w:bookmarkStart w:id="570" w:name="_Toc184635123"/>
      <w:bookmarkStart w:id="571" w:name="_Toc361508743"/>
      <w:bookmarkStart w:id="572" w:name="_Toc369531685"/>
      <w:bookmarkStart w:id="573" w:name="_Toc296602586"/>
      <w:bookmarkStart w:id="574" w:name="_Toc361231267"/>
      <w:bookmarkStart w:id="575" w:name="_Toc246997079"/>
      <w:bookmarkStart w:id="576" w:name="_Toc247527799"/>
      <w:bookmarkStart w:id="577" w:name="_Toc300835200"/>
      <w:bookmarkStart w:id="578" w:name="_Toc247085851"/>
      <w:bookmarkStart w:id="579" w:name="_Toc15620"/>
      <w:bookmarkStart w:id="580" w:name="_Toc247514198"/>
      <w:r>
        <w:rPr>
          <w:rFonts w:ascii="Times New Roman" w:hAnsi="Times New Roman"/>
        </w:rPr>
        <w:t>，无论我方是否收到该</w:t>
      </w:r>
      <w:bookmarkEnd w:id="544"/>
      <w:bookmarkEnd w:id="545"/>
      <w:bookmarkEnd w:id="546"/>
      <w:bookmarkEnd w:id="547"/>
      <w:bookmarkEnd w:id="568"/>
      <w:bookmarkEnd w:id="569"/>
      <w:bookmarkEnd w:id="570"/>
      <w:bookmarkEnd w:id="571"/>
      <w:bookmarkEnd w:id="572"/>
      <w:bookmarkEnd w:id="573"/>
      <w:bookmarkEnd w:id="574"/>
      <w:bookmarkEnd w:id="575"/>
      <w:bookmarkEnd w:id="576"/>
      <w:bookmarkEnd w:id="577"/>
      <w:bookmarkEnd w:id="578"/>
      <w:bookmarkEnd w:id="579"/>
      <w:bookmarkEnd w:id="580"/>
      <w:r>
        <w:rPr>
          <w:rFonts w:ascii="Times New Roman" w:hAnsi="Times New Roman"/>
        </w:rPr>
        <w:t>变</w:t>
      </w:r>
      <w:bookmarkStart w:id="581" w:name="_Toc247085852"/>
      <w:bookmarkStart w:id="582" w:name="_Toc152042547"/>
      <w:bookmarkStart w:id="583" w:name="_Toc246996337"/>
      <w:bookmarkStart w:id="584" w:name="_Toc5746"/>
      <w:bookmarkStart w:id="585" w:name="_Toc144974827"/>
      <w:bookmarkStart w:id="586" w:name="_Toc152045768"/>
      <w:bookmarkStart w:id="587" w:name="_Toc361508744"/>
      <w:bookmarkStart w:id="588" w:name="_Toc361231268"/>
      <w:bookmarkStart w:id="589" w:name="_Toc247514199"/>
      <w:bookmarkStart w:id="590" w:name="_Toc246997080"/>
      <w:bookmarkStart w:id="591" w:name="_Toc369531686"/>
      <w:bookmarkStart w:id="592" w:name="_Toc384308367"/>
      <w:bookmarkStart w:id="593" w:name="_Toc179632786"/>
      <w:bookmarkStart w:id="594" w:name="_Toc300835201"/>
      <w:bookmarkStart w:id="595" w:name="_Toc247527800"/>
      <w:r>
        <w:rPr>
          <w:rFonts w:ascii="Times New Roman" w:hAnsi="Times New Roman"/>
        </w:rPr>
        <w:t>更，我方承担本</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Fonts w:ascii="Times New Roman" w:hAnsi="Times New Roman"/>
        </w:rPr>
        <w:t>担保</w:t>
      </w:r>
      <w:bookmarkStart w:id="596" w:name="_Toc246997081"/>
      <w:bookmarkStart w:id="597" w:name="_Toc246996338"/>
      <w:bookmarkStart w:id="598" w:name="_Toc247085853"/>
      <w:bookmarkStart w:id="599" w:name="_Toc179632787"/>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600" w:name="_Toc144974829"/>
      <w:bookmarkStart w:id="601" w:name="_Toc15204254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sz w:val="2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rPr>
          <w:rFonts w:ascii="Times New Roman" w:hAnsi="Times New Roman"/>
        </w:rPr>
      </w:pPr>
      <w:bookmarkStart w:id="602" w:name="_Toc10886"/>
      <w:r>
        <w:t>第</w:t>
      </w:r>
      <w:r>
        <w:rPr>
          <w:rFonts w:hint="eastAsia"/>
          <w:lang w:val="en-US" w:eastAsia="zh-CN"/>
        </w:rPr>
        <w:t>六</w:t>
      </w:r>
      <w:r>
        <w:t>章供货要求</w:t>
      </w:r>
      <w:bookmarkEnd w:id="602"/>
    </w:p>
    <w:p>
      <w:pPr>
        <w:spacing w:line="400" w:lineRule="exact"/>
        <w:jc w:val="center"/>
        <w:rPr>
          <w:rFonts w:ascii="Times New Roman" w:hAnsi="Times New Roman"/>
          <w:b/>
          <w:sz w:val="32"/>
          <w:szCs w:val="32"/>
        </w:rPr>
      </w:pPr>
      <w:r>
        <w:rPr>
          <w:rFonts w:ascii="Times New Roman" w:hAnsi="Times New Roman"/>
          <w:b/>
          <w:sz w:val="32"/>
          <w:szCs w:val="32"/>
        </w:rPr>
        <w:t>供货要求</w:t>
      </w:r>
    </w:p>
    <w:p>
      <w:pPr>
        <w:spacing w:line="400" w:lineRule="exact"/>
        <w:jc w:val="center"/>
        <w:rPr>
          <w:rFonts w:ascii="Times New Roman" w:hAnsi="Times New Roman"/>
          <w:b/>
          <w:sz w:val="32"/>
          <w:szCs w:val="32"/>
        </w:rPr>
      </w:pPr>
    </w:p>
    <w:p>
      <w:pPr>
        <w:spacing w:line="400" w:lineRule="exact"/>
        <w:ind w:firstLine="420" w:firstLineChars="200"/>
        <w:jc w:val="left"/>
        <w:rPr>
          <w:rFonts w:ascii="Times New Roman" w:hAnsi="Times New Roman"/>
          <w:szCs w:val="21"/>
        </w:rPr>
      </w:pPr>
      <w:r>
        <w:rPr>
          <w:rFonts w:ascii="Times New Roman" w:hAnsi="Times New Roman"/>
          <w:szCs w:val="21"/>
        </w:rPr>
        <w:t>招标人应尽可能清晰准确地提出对材料的需求，并对所要求提供的材料名称、规格、数量及单位、交货期、交货地点、质量标准、验收标准、相关服务要求等作出说明。鉴于供货要求是合同文件的组成文件之一，指代主体名称宜采用买方和卖方分别表示招标人和投标人或中标人。</w:t>
      </w:r>
    </w:p>
    <w:p>
      <w:pPr>
        <w:pStyle w:val="3"/>
        <w:spacing w:line="240" w:lineRule="auto"/>
        <w:rPr>
          <w:rFonts w:ascii="Times New Roman" w:hAnsi="Times New Roman"/>
          <w:b w:val="0"/>
          <w:sz w:val="28"/>
          <w:szCs w:val="28"/>
        </w:rPr>
      </w:pPr>
      <w:bookmarkStart w:id="603" w:name="_Toc18513"/>
      <w:r>
        <w:rPr>
          <w:rFonts w:ascii="Times New Roman" w:hAnsi="Times New Roman"/>
          <w:b w:val="0"/>
          <w:sz w:val="28"/>
          <w:szCs w:val="28"/>
        </w:rPr>
        <w:t>一、项目概况及总体要求</w:t>
      </w:r>
      <w:bookmarkEnd w:id="603"/>
    </w:p>
    <w:p>
      <w:pPr>
        <w:spacing w:line="440" w:lineRule="exact"/>
        <w:ind w:firstLine="359" w:firstLineChars="171"/>
        <w:rPr>
          <w:rFonts w:ascii="Times New Roman" w:hAnsi="Times New Roman"/>
          <w:szCs w:val="21"/>
        </w:rPr>
      </w:pPr>
      <w:r>
        <w:rPr>
          <w:rFonts w:ascii="Times New Roman" w:hAnsi="Times New Roman"/>
          <w:szCs w:val="21"/>
        </w:rPr>
        <w:t>招标人可根据需要对工程项目的概况进行介绍，以使投标人更清晰地了解供货的总体要求和相关信息。</w:t>
      </w:r>
      <w:bookmarkStart w:id="604" w:name="_Toc2462"/>
    </w:p>
    <w:p>
      <w:pPr>
        <w:pStyle w:val="3"/>
        <w:spacing w:line="240" w:lineRule="auto"/>
        <w:rPr>
          <w:rFonts w:ascii="Times New Roman" w:hAnsi="Times New Roman"/>
          <w:b w:val="0"/>
          <w:sz w:val="28"/>
          <w:szCs w:val="28"/>
        </w:rPr>
      </w:pPr>
      <w:bookmarkStart w:id="605" w:name="_Toc23563"/>
      <w:r>
        <w:rPr>
          <w:rFonts w:ascii="Times New Roman" w:hAnsi="Times New Roman"/>
          <w:b w:val="0"/>
          <w:sz w:val="28"/>
          <w:szCs w:val="28"/>
        </w:rPr>
        <w:t>二、材料需求一览表</w:t>
      </w:r>
      <w:bookmarkEnd w:id="604"/>
      <w:bookmarkEnd w:id="605"/>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260"/>
        <w:gridCol w:w="1556"/>
        <w:gridCol w:w="1314"/>
        <w:gridCol w:w="129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序号</w:t>
            </w:r>
          </w:p>
        </w:tc>
        <w:tc>
          <w:tcPr>
            <w:tcW w:w="2260" w:type="dxa"/>
            <w:vAlign w:val="center"/>
          </w:tcPr>
          <w:p>
            <w:pPr>
              <w:spacing w:line="440" w:lineRule="exact"/>
              <w:jc w:val="center"/>
              <w:rPr>
                <w:rFonts w:ascii="Times New Roman" w:hAnsi="Times New Roman"/>
                <w:szCs w:val="21"/>
              </w:rPr>
            </w:pPr>
            <w:r>
              <w:rPr>
                <w:rFonts w:ascii="Times New Roman" w:hAnsi="Times New Roman"/>
                <w:szCs w:val="21"/>
              </w:rPr>
              <w:t>材料名称</w:t>
            </w:r>
          </w:p>
        </w:tc>
        <w:tc>
          <w:tcPr>
            <w:tcW w:w="1556" w:type="dxa"/>
            <w:vAlign w:val="center"/>
          </w:tcPr>
          <w:p>
            <w:pPr>
              <w:spacing w:line="440" w:lineRule="exact"/>
              <w:jc w:val="center"/>
              <w:rPr>
                <w:rFonts w:ascii="Times New Roman" w:hAnsi="Times New Roman"/>
                <w:szCs w:val="21"/>
              </w:rPr>
            </w:pPr>
            <w:r>
              <w:rPr>
                <w:rFonts w:ascii="Times New Roman" w:hAnsi="Times New Roman"/>
                <w:szCs w:val="21"/>
              </w:rPr>
              <w:t>数量及单位</w:t>
            </w:r>
          </w:p>
        </w:tc>
        <w:tc>
          <w:tcPr>
            <w:tcW w:w="1314" w:type="dxa"/>
            <w:vAlign w:val="center"/>
          </w:tcPr>
          <w:p>
            <w:pPr>
              <w:spacing w:line="440" w:lineRule="exact"/>
              <w:jc w:val="center"/>
              <w:rPr>
                <w:rFonts w:ascii="Times New Roman" w:hAnsi="Times New Roman"/>
                <w:szCs w:val="21"/>
              </w:rPr>
            </w:pPr>
            <w:r>
              <w:rPr>
                <w:rFonts w:ascii="Times New Roman" w:hAnsi="Times New Roman"/>
                <w:szCs w:val="21"/>
              </w:rPr>
              <w:t>交货期</w:t>
            </w:r>
          </w:p>
        </w:tc>
        <w:tc>
          <w:tcPr>
            <w:tcW w:w="1290" w:type="dxa"/>
            <w:vAlign w:val="center"/>
          </w:tcPr>
          <w:p>
            <w:pPr>
              <w:spacing w:line="440" w:lineRule="exact"/>
              <w:jc w:val="center"/>
              <w:rPr>
                <w:rFonts w:ascii="Times New Roman" w:hAnsi="Times New Roman"/>
                <w:szCs w:val="21"/>
              </w:rPr>
            </w:pPr>
            <w:r>
              <w:rPr>
                <w:rFonts w:ascii="Times New Roman" w:hAnsi="Times New Roman"/>
                <w:szCs w:val="21"/>
              </w:rPr>
              <w:t>交货地点</w:t>
            </w:r>
          </w:p>
        </w:tc>
        <w:tc>
          <w:tcPr>
            <w:tcW w:w="1280" w:type="dxa"/>
            <w:vAlign w:val="center"/>
          </w:tcPr>
          <w:p>
            <w:pPr>
              <w:spacing w:line="440" w:lineRule="exact"/>
              <w:jc w:val="center"/>
              <w:rPr>
                <w:rFonts w:ascii="Times New Roman" w:hAnsi="Times New Roman"/>
                <w:szCs w:val="21"/>
              </w:rPr>
            </w:pPr>
            <w:r>
              <w:rPr>
                <w:rFonts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1</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2</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3</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4</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23" w:type="dxa"/>
            <w:vAlign w:val="center"/>
          </w:tcPr>
          <w:p>
            <w:pPr>
              <w:spacing w:line="440" w:lineRule="exact"/>
              <w:jc w:val="center"/>
              <w:rPr>
                <w:rFonts w:ascii="Times New Roman" w:hAnsi="Times New Roman"/>
                <w:szCs w:val="21"/>
              </w:rPr>
            </w:pPr>
            <w:r>
              <w:rPr>
                <w:rFonts w:ascii="Times New Roman" w:hAnsi="Times New Roman"/>
                <w:szCs w:val="21"/>
              </w:rPr>
              <w:t>……</w:t>
            </w:r>
          </w:p>
        </w:tc>
        <w:tc>
          <w:tcPr>
            <w:tcW w:w="2260" w:type="dxa"/>
            <w:vAlign w:val="center"/>
          </w:tcPr>
          <w:p>
            <w:pPr>
              <w:spacing w:line="440" w:lineRule="exact"/>
              <w:jc w:val="center"/>
              <w:rPr>
                <w:rFonts w:ascii="Times New Roman" w:hAnsi="Times New Roman"/>
                <w:szCs w:val="21"/>
              </w:rPr>
            </w:pPr>
          </w:p>
        </w:tc>
        <w:tc>
          <w:tcPr>
            <w:tcW w:w="1556" w:type="dxa"/>
            <w:vAlign w:val="center"/>
          </w:tcPr>
          <w:p>
            <w:pPr>
              <w:spacing w:line="440" w:lineRule="exact"/>
              <w:jc w:val="center"/>
              <w:rPr>
                <w:rFonts w:ascii="Times New Roman" w:hAnsi="Times New Roman"/>
                <w:szCs w:val="21"/>
              </w:rPr>
            </w:pPr>
          </w:p>
        </w:tc>
        <w:tc>
          <w:tcPr>
            <w:tcW w:w="1314" w:type="dxa"/>
            <w:vAlign w:val="center"/>
          </w:tcPr>
          <w:p>
            <w:pPr>
              <w:spacing w:line="440" w:lineRule="exact"/>
              <w:jc w:val="center"/>
              <w:rPr>
                <w:rFonts w:ascii="Times New Roman" w:hAnsi="Times New Roman"/>
                <w:szCs w:val="21"/>
              </w:rPr>
            </w:pPr>
          </w:p>
        </w:tc>
        <w:tc>
          <w:tcPr>
            <w:tcW w:w="1290" w:type="dxa"/>
            <w:vAlign w:val="center"/>
          </w:tcPr>
          <w:p>
            <w:pPr>
              <w:spacing w:line="440" w:lineRule="exact"/>
              <w:jc w:val="center"/>
              <w:rPr>
                <w:rFonts w:ascii="Times New Roman" w:hAnsi="Times New Roman"/>
                <w:szCs w:val="21"/>
              </w:rPr>
            </w:pPr>
          </w:p>
        </w:tc>
        <w:tc>
          <w:tcPr>
            <w:tcW w:w="1280" w:type="dxa"/>
            <w:vAlign w:val="center"/>
          </w:tcPr>
          <w:p>
            <w:pPr>
              <w:spacing w:line="440" w:lineRule="exact"/>
              <w:jc w:val="center"/>
              <w:rPr>
                <w:rFonts w:ascii="Times New Roman" w:hAnsi="Times New Roman"/>
                <w:szCs w:val="21"/>
              </w:rPr>
            </w:pPr>
          </w:p>
        </w:tc>
      </w:tr>
    </w:tbl>
    <w:p>
      <w:pPr>
        <w:pStyle w:val="3"/>
        <w:numPr>
          <w:ilvl w:val="0"/>
          <w:numId w:val="3"/>
        </w:numPr>
        <w:spacing w:line="240" w:lineRule="auto"/>
        <w:rPr>
          <w:rFonts w:ascii="Times New Roman" w:hAnsi="Times New Roman"/>
          <w:b w:val="0"/>
          <w:sz w:val="28"/>
          <w:szCs w:val="28"/>
        </w:rPr>
      </w:pPr>
      <w:bookmarkStart w:id="606" w:name="_Toc3392"/>
      <w:r>
        <w:rPr>
          <w:rFonts w:ascii="Times New Roman" w:hAnsi="Times New Roman"/>
          <w:b w:val="0"/>
          <w:sz w:val="28"/>
          <w:szCs w:val="28"/>
        </w:rPr>
        <w:t>质量标准</w:t>
      </w:r>
      <w:bookmarkEnd w:id="606"/>
    </w:p>
    <w:p>
      <w:pPr>
        <w:numPr>
          <w:ilvl w:val="0"/>
          <w:numId w:val="0"/>
        </w:numPr>
      </w:pPr>
    </w:p>
    <w:bookmarkEnd w:id="596"/>
    <w:bookmarkEnd w:id="597"/>
    <w:bookmarkEnd w:id="598"/>
    <w:bookmarkEnd w:id="599"/>
    <w:p>
      <w:pPr>
        <w:pStyle w:val="3"/>
        <w:spacing w:line="240" w:lineRule="auto"/>
        <w:rPr>
          <w:rFonts w:ascii="Times New Roman" w:hAnsi="Times New Roman"/>
          <w:b w:val="0"/>
          <w:sz w:val="28"/>
          <w:szCs w:val="28"/>
        </w:rPr>
      </w:pPr>
      <w:bookmarkStart w:id="607" w:name="_Toc22883"/>
      <w:r>
        <w:rPr>
          <w:rFonts w:ascii="Times New Roman" w:hAnsi="Times New Roman"/>
          <w:b w:val="0"/>
          <w:sz w:val="28"/>
          <w:szCs w:val="28"/>
        </w:rPr>
        <w:t>四、验收标准</w:t>
      </w:r>
      <w:bookmarkEnd w:id="607"/>
    </w:p>
    <w:p/>
    <w:p>
      <w:pPr>
        <w:pStyle w:val="3"/>
        <w:spacing w:line="240" w:lineRule="auto"/>
        <w:rPr>
          <w:rFonts w:ascii="Times New Roman" w:hAnsi="Times New Roman"/>
          <w:b w:val="0"/>
          <w:sz w:val="28"/>
          <w:szCs w:val="28"/>
        </w:rPr>
      </w:pPr>
      <w:bookmarkStart w:id="608" w:name="_Toc9954"/>
      <w:r>
        <w:rPr>
          <w:rFonts w:ascii="Times New Roman" w:hAnsi="Times New Roman"/>
          <w:b w:val="0"/>
          <w:sz w:val="28"/>
          <w:szCs w:val="28"/>
        </w:rPr>
        <w:t>五、相关服务要求</w:t>
      </w:r>
      <w:bookmarkEnd w:id="608"/>
    </w:p>
    <w:p>
      <w:pPr>
        <w:spacing w:line="400" w:lineRule="exact"/>
        <w:jc w:val="center"/>
        <w:rPr>
          <w:rFonts w:ascii="Times New Roman" w:hAnsi="Times New Roman"/>
        </w:rPr>
      </w:pPr>
      <w:r>
        <w:rPr>
          <w:rFonts w:ascii="Times New Roman" w:hAnsi="Times New Roman"/>
        </w:rPr>
        <w:br w:type="page"/>
      </w:r>
    </w:p>
    <w:p>
      <w:pPr>
        <w:pStyle w:val="2"/>
        <w:jc w:val="center"/>
      </w:pPr>
      <w:bookmarkStart w:id="609" w:name="_Toc29981"/>
      <w:r>
        <w:t>第</w:t>
      </w:r>
      <w:r>
        <w:rPr>
          <w:rFonts w:hint="eastAsia"/>
          <w:lang w:val="en-US" w:eastAsia="zh-CN"/>
        </w:rPr>
        <w:t>七</w:t>
      </w:r>
      <w:r>
        <w:t>章投标文件格式</w:t>
      </w:r>
      <w:bookmarkEnd w:id="609"/>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610" w:name="_Toc16631"/>
      <w:r>
        <w:rPr>
          <w:rFonts w:ascii="Times New Roman" w:hAnsi="Times New Roman"/>
          <w:color w:val="000000"/>
        </w:rPr>
        <w:t>目录</w:t>
      </w:r>
      <w:bookmarkEnd w:id="610"/>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w:t>
      </w:r>
      <w:r>
        <w:rPr>
          <w:rFonts w:hint="eastAsia" w:ascii="宋体" w:hAnsi="宋体"/>
          <w:szCs w:val="21"/>
          <w:lang w:eastAsia="zh-CN"/>
        </w:rPr>
        <w:t>（</w:t>
      </w:r>
      <w:r>
        <w:rPr>
          <w:rFonts w:hint="eastAsia" w:ascii="宋体" w:hAnsi="宋体"/>
          <w:szCs w:val="21"/>
          <w:lang w:val="en-US" w:eastAsia="zh-CN"/>
        </w:rPr>
        <w:t>单位负责人</w:t>
      </w:r>
      <w:r>
        <w:rPr>
          <w:rFonts w:hint="eastAsia" w:ascii="宋体" w:hAnsi="宋体"/>
          <w:szCs w:val="21"/>
          <w:lang w:eastAsia="zh-CN"/>
        </w:rPr>
        <w:t>）</w:t>
      </w:r>
      <w:r>
        <w:rPr>
          <w:rFonts w:hint="eastAsia" w:ascii="宋体" w:hAnsi="宋体"/>
          <w:szCs w:val="21"/>
        </w:rPr>
        <w:t>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五、商务和技术偏差表</w:t>
      </w:r>
    </w:p>
    <w:p>
      <w:pPr>
        <w:spacing w:line="540" w:lineRule="exact"/>
        <w:rPr>
          <w:rFonts w:ascii="Times New Roman" w:hAnsi="Times New Roman"/>
        </w:rPr>
      </w:pPr>
      <w:r>
        <w:rPr>
          <w:rFonts w:ascii="Times New Roman" w:hAnsi="Times New Roman"/>
        </w:rPr>
        <w:t>六、分项报价表</w:t>
      </w:r>
    </w:p>
    <w:p>
      <w:pPr>
        <w:spacing w:line="540" w:lineRule="exact"/>
        <w:rPr>
          <w:rFonts w:ascii="Times New Roman" w:hAnsi="Times New Roman"/>
        </w:rPr>
      </w:pPr>
      <w:r>
        <w:rPr>
          <w:rFonts w:ascii="Times New Roman" w:hAnsi="Times New Roman"/>
        </w:rPr>
        <w:t>七、资格审查资料</w:t>
      </w:r>
    </w:p>
    <w:p>
      <w:pPr>
        <w:spacing w:line="540" w:lineRule="exact"/>
        <w:rPr>
          <w:rFonts w:ascii="Times New Roman" w:hAnsi="Times New Roman"/>
        </w:rPr>
      </w:pPr>
      <w:r>
        <w:rPr>
          <w:rFonts w:ascii="Times New Roman" w:hAnsi="Times New Roman"/>
        </w:rPr>
        <w:t>八、投标材料质量标准的详细描述</w:t>
      </w:r>
    </w:p>
    <w:p>
      <w:pPr>
        <w:spacing w:line="540" w:lineRule="exact"/>
        <w:rPr>
          <w:rFonts w:ascii="Times New Roman" w:hAnsi="Times New Roman"/>
        </w:rPr>
      </w:pPr>
      <w:bookmarkStart w:id="611" w:name="_Toc247527819"/>
      <w:bookmarkStart w:id="612" w:name="_Toc247514232"/>
      <w:bookmarkStart w:id="613" w:name="_Toc300835204"/>
      <w:r>
        <w:rPr>
          <w:rFonts w:ascii="Times New Roman" w:hAnsi="Times New Roman"/>
        </w:rPr>
        <w:t>九、技</w:t>
      </w:r>
      <w:bookmarkStart w:id="614" w:name="_Toc369531690"/>
      <w:bookmarkStart w:id="615" w:name="_Toc15118"/>
      <w:r>
        <w:rPr>
          <w:rFonts w:ascii="Times New Roman" w:hAnsi="Times New Roman"/>
        </w:rPr>
        <w:t>术支持</w:t>
      </w:r>
      <w:bookmarkEnd w:id="611"/>
      <w:bookmarkEnd w:id="612"/>
      <w:bookmarkEnd w:id="613"/>
      <w:bookmarkEnd w:id="614"/>
      <w:r>
        <w:rPr>
          <w:rFonts w:ascii="Times New Roman" w:hAnsi="Times New Roman"/>
        </w:rPr>
        <w:t>资</w:t>
      </w:r>
      <w:bookmarkEnd w:id="615"/>
      <w:r>
        <w:rPr>
          <w:rFonts w:ascii="Times New Roman" w:hAnsi="Times New Roman"/>
        </w:rPr>
        <w:t>料</w:t>
      </w:r>
    </w:p>
    <w:p>
      <w:pPr>
        <w:spacing w:line="540" w:lineRule="exact"/>
        <w:rPr>
          <w:rFonts w:ascii="Times New Roman" w:hAnsi="Times New Roman"/>
        </w:rPr>
      </w:pPr>
      <w:r>
        <w:rPr>
          <w:rFonts w:ascii="Times New Roman" w:hAnsi="Times New Roman"/>
        </w:rPr>
        <w:t>十、相关服务计划</w:t>
      </w:r>
    </w:p>
    <w:p>
      <w:pPr>
        <w:spacing w:line="540" w:lineRule="exact"/>
        <w:rPr>
          <w:rFonts w:ascii="Times New Roman" w:hAnsi="Times New Roman"/>
        </w:rPr>
      </w:pPr>
      <w:bookmarkStart w:id="616" w:name="_Toc369531691"/>
      <w:bookmarkStart w:id="617" w:name="_Toc7039"/>
      <w:bookmarkStart w:id="618" w:name="_Toc352691655"/>
      <w:r>
        <w:rPr>
          <w:rFonts w:ascii="Times New Roman" w:hAnsi="Times New Roman"/>
        </w:rPr>
        <w:t>十一、</w:t>
      </w:r>
      <w:r>
        <w:rPr>
          <w:rFonts w:hint="eastAsia" w:ascii="宋体" w:hAnsi="宋体"/>
          <w:szCs w:val="21"/>
          <w:lang w:val="en-US" w:eastAsia="zh-CN"/>
        </w:rPr>
        <w:t>投标人须知前附表规定的</w:t>
      </w:r>
      <w:r>
        <w:rPr>
          <w:rFonts w:ascii="Times New Roman" w:hAnsi="Times New Roman"/>
        </w:rPr>
        <w:t>其他资料</w:t>
      </w:r>
    </w:p>
    <w:p>
      <w:pPr>
        <w:spacing w:line="540" w:lineRule="exact"/>
        <w:rPr>
          <w:rFonts w:ascii="Times New Roman" w:hAnsi="Times New Roman" w:eastAsia="黑体"/>
          <w:sz w:val="20"/>
        </w:rPr>
      </w:pPr>
      <w:r>
        <w:rPr>
          <w:rFonts w:ascii="Times New Roman" w:hAnsi="Times New Roman"/>
        </w:rPr>
        <w:br w:type="page"/>
      </w:r>
    </w:p>
    <w:bookmarkEnd w:id="616"/>
    <w:bookmarkEnd w:id="617"/>
    <w:bookmarkEnd w:id="618"/>
    <w:p>
      <w:pPr>
        <w:pStyle w:val="3"/>
        <w:jc w:val="center"/>
        <w:rPr>
          <w:rFonts w:ascii="Times New Roman" w:hAnsi="Times New Roman"/>
        </w:rPr>
      </w:pPr>
      <w:bookmarkStart w:id="619" w:name="_Toc27065"/>
      <w:r>
        <w:rPr>
          <w:rFonts w:ascii="Times New Roman" w:hAnsi="Times New Roman"/>
        </w:rPr>
        <w:t>一、投标</w:t>
      </w:r>
      <w:bookmarkStart w:id="620" w:name="_Toc352691656"/>
      <w:bookmarkStart w:id="621" w:name="_Toc369531692"/>
      <w:bookmarkStart w:id="622" w:name="_Toc6931"/>
      <w:r>
        <w:rPr>
          <w:rFonts w:ascii="Times New Roman" w:hAnsi="Times New Roman"/>
        </w:rPr>
        <w:t>函</w:t>
      </w:r>
      <w:bookmarkEnd w:id="619"/>
    </w:p>
    <w:bookmarkEnd w:id="620"/>
    <w:bookmarkEnd w:id="621"/>
    <w:bookmarkEnd w:id="622"/>
    <w:p>
      <w:pPr>
        <w:spacing w:line="440" w:lineRule="exact"/>
        <w:rPr>
          <w:rFonts w:ascii="Times New Roman" w:hAnsi="Times New Roman"/>
          <w:szCs w:val="21"/>
        </w:rPr>
      </w:pPr>
      <w:r>
        <w:rPr>
          <w:rFonts w:ascii="Times New Roman" w:hAnsi="Times New Roman"/>
          <w:u w:val="single"/>
        </w:rPr>
        <w:t xml:space="preserve">                  </w:t>
      </w:r>
      <w:r>
        <w:rPr>
          <w:rFonts w:ascii="Times New Roman" w:hAnsi="Times New Roman"/>
          <w:szCs w:val="21"/>
        </w:rPr>
        <w:t>（招标人名称）：</w:t>
      </w:r>
    </w:p>
    <w:p>
      <w:pPr>
        <w:spacing w:line="440" w:lineRule="exact"/>
        <w:ind w:firstLine="420" w:firstLineChars="200"/>
        <w:rPr>
          <w:rFonts w:ascii="Times New Roman" w:hAnsi="Times New Roman"/>
          <w:szCs w:val="21"/>
        </w:rPr>
      </w:pPr>
      <w:r>
        <w:rPr>
          <w:rFonts w:ascii="Times New Roman" w:hAnsi="Times New Roman"/>
          <w:szCs w:val="21"/>
        </w:rPr>
        <w:t>1．我方已仔细研究了</w:t>
      </w:r>
      <w:r>
        <w:rPr>
          <w:rFonts w:ascii="Times New Roman" w:hAnsi="Times New Roman"/>
          <w:u w:val="single"/>
        </w:rPr>
        <w:t xml:space="preserve">                  </w:t>
      </w:r>
      <w:r>
        <w:rPr>
          <w:rFonts w:ascii="Times New Roman" w:hAnsi="Times New Roman"/>
          <w:color w:val="000000"/>
        </w:rPr>
        <w:t>（项目名称）材料采购招标项目</w:t>
      </w:r>
      <w:r>
        <w:rPr>
          <w:rFonts w:ascii="Times New Roman" w:hAnsi="Times New Roman"/>
          <w:szCs w:val="21"/>
        </w:rPr>
        <w:t>招标文件的全部内容，愿意以人民币（大写）</w:t>
      </w:r>
      <w:r>
        <w:rPr>
          <w:rFonts w:ascii="Times New Roman" w:hAnsi="Times New Roman"/>
          <w:u w:val="single"/>
        </w:rPr>
        <w:t xml:space="preserve">               </w:t>
      </w:r>
      <w:r>
        <w:rPr>
          <w:rFonts w:ascii="Times New Roman" w:hAnsi="Times New Roman"/>
          <w:szCs w:val="21"/>
        </w:rPr>
        <w:t>（¥</w:t>
      </w:r>
      <w:r>
        <w:rPr>
          <w:rFonts w:ascii="Times New Roman" w:hAnsi="Times New Roman"/>
          <w:u w:val="single"/>
        </w:rPr>
        <w:t xml:space="preserve">               </w:t>
      </w:r>
      <w:r>
        <w:rPr>
          <w:rFonts w:ascii="Times New Roman" w:hAnsi="Times New Roman"/>
          <w:szCs w:val="21"/>
        </w:rPr>
        <w:t>）的投标总报价（其中，增值税税率为</w:t>
      </w:r>
      <w:r>
        <w:rPr>
          <w:rFonts w:ascii="Times New Roman" w:hAnsi="Times New Roman" w:eastAsia="黑体"/>
          <w:color w:val="000000"/>
          <w:sz w:val="28"/>
          <w:u w:val="single"/>
        </w:rPr>
        <w:t xml:space="preserve">         </w:t>
      </w:r>
      <w:r>
        <w:rPr>
          <w:rFonts w:ascii="Times New Roman" w:hAnsi="Times New Roman" w:eastAsia="黑体"/>
          <w:color w:val="000000"/>
          <w:sz w:val="28"/>
        </w:rPr>
        <w:t>）</w:t>
      </w:r>
      <w:r>
        <w:rPr>
          <w:rFonts w:ascii="Times New Roman" w:hAnsi="Times New Roman"/>
          <w:szCs w:val="21"/>
        </w:rPr>
        <w:t>提供</w:t>
      </w:r>
      <w:r>
        <w:rPr>
          <w:rFonts w:ascii="Times New Roman" w:hAnsi="Times New Roman"/>
          <w:u w:val="single"/>
        </w:rPr>
        <w:t xml:space="preserve">                 </w:t>
      </w:r>
      <w:r>
        <w:rPr>
          <w:rFonts w:ascii="Times New Roman" w:hAnsi="Times New Roman"/>
          <w:szCs w:val="21"/>
        </w:rPr>
        <w:t>（材料名称及相关服务），并按合同约定履行义务。</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rPr>
      </w:pPr>
      <w:r>
        <w:rPr>
          <w:rFonts w:ascii="Times New Roman" w:hAnsi="Times New Roman"/>
        </w:rPr>
        <w:t>（1）投标函；</w:t>
      </w:r>
    </w:p>
    <w:p>
      <w:pPr>
        <w:spacing w:line="400" w:lineRule="exact"/>
        <w:ind w:firstLine="405"/>
        <w:rPr>
          <w:rFonts w:ascii="Times New Roman" w:hAnsi="Times New Roman"/>
        </w:rPr>
      </w:pPr>
      <w:r>
        <w:rPr>
          <w:rFonts w:ascii="Times New Roman" w:hAnsi="Times New Roman"/>
        </w:rPr>
        <w:t>（2）法定代表人身份证明或授权委托书；</w:t>
      </w:r>
    </w:p>
    <w:p>
      <w:pPr>
        <w:spacing w:line="400" w:lineRule="exact"/>
        <w:ind w:firstLine="405"/>
        <w:rPr>
          <w:rFonts w:ascii="Times New Roman" w:hAnsi="Times New Roman"/>
        </w:rPr>
      </w:pPr>
      <w:r>
        <w:rPr>
          <w:rFonts w:ascii="Times New Roman" w:hAnsi="Times New Roman"/>
        </w:rPr>
        <w:t>（3）联合体协议书（如有）；</w:t>
      </w:r>
    </w:p>
    <w:p>
      <w:pPr>
        <w:spacing w:line="400" w:lineRule="exact"/>
        <w:ind w:firstLine="405"/>
        <w:rPr>
          <w:rFonts w:ascii="Times New Roman" w:hAnsi="Times New Roman"/>
        </w:rPr>
      </w:pPr>
      <w:r>
        <w:rPr>
          <w:rFonts w:ascii="Times New Roman" w:hAnsi="Times New Roman"/>
        </w:rPr>
        <w:t>（4）投标保证金（如有）；</w:t>
      </w:r>
    </w:p>
    <w:p>
      <w:pPr>
        <w:spacing w:line="400" w:lineRule="exact"/>
        <w:ind w:firstLine="405"/>
        <w:rPr>
          <w:rFonts w:ascii="Times New Roman" w:hAnsi="Times New Roman"/>
        </w:rPr>
      </w:pPr>
      <w:r>
        <w:rPr>
          <w:rFonts w:ascii="Times New Roman" w:hAnsi="Times New Roman"/>
        </w:rPr>
        <w:t>（5）商务和技术偏差表；</w:t>
      </w:r>
    </w:p>
    <w:p>
      <w:pPr>
        <w:spacing w:line="400" w:lineRule="exact"/>
        <w:ind w:firstLine="405"/>
        <w:rPr>
          <w:rFonts w:ascii="Times New Roman" w:hAnsi="Times New Roman"/>
        </w:rPr>
      </w:pPr>
      <w:r>
        <w:rPr>
          <w:rFonts w:ascii="Times New Roman" w:hAnsi="Times New Roman"/>
        </w:rPr>
        <w:t>（6）分项报价表；</w:t>
      </w:r>
    </w:p>
    <w:p>
      <w:pPr>
        <w:spacing w:line="400" w:lineRule="exact"/>
        <w:ind w:firstLine="405"/>
        <w:rPr>
          <w:rFonts w:ascii="Times New Roman" w:hAnsi="Times New Roman"/>
        </w:rPr>
      </w:pPr>
      <w:r>
        <w:rPr>
          <w:rFonts w:ascii="Times New Roman" w:hAnsi="Times New Roman"/>
        </w:rPr>
        <w:t>（7）资格审查资料；</w:t>
      </w:r>
    </w:p>
    <w:p>
      <w:pPr>
        <w:spacing w:line="400" w:lineRule="exact"/>
        <w:ind w:firstLine="405"/>
        <w:rPr>
          <w:rFonts w:ascii="Times New Roman" w:hAnsi="Times New Roman"/>
        </w:rPr>
      </w:pPr>
      <w:r>
        <w:rPr>
          <w:rFonts w:ascii="Times New Roman" w:hAnsi="Times New Roman"/>
        </w:rPr>
        <w:t>（8）投标材料质量标准的详细描述；</w:t>
      </w:r>
    </w:p>
    <w:p>
      <w:pPr>
        <w:spacing w:line="400" w:lineRule="exact"/>
        <w:ind w:firstLine="405"/>
        <w:rPr>
          <w:rFonts w:ascii="Times New Roman" w:hAnsi="Times New Roman"/>
        </w:rPr>
      </w:pPr>
      <w:r>
        <w:rPr>
          <w:rFonts w:ascii="Times New Roman" w:hAnsi="Times New Roman"/>
        </w:rPr>
        <w:t>（9）技术支持资料；</w:t>
      </w:r>
    </w:p>
    <w:p>
      <w:pPr>
        <w:spacing w:line="400" w:lineRule="exact"/>
        <w:ind w:firstLine="405"/>
        <w:rPr>
          <w:rFonts w:ascii="Times New Roman" w:hAnsi="Times New Roman"/>
        </w:rPr>
      </w:pPr>
      <w:r>
        <w:rPr>
          <w:rFonts w:ascii="Times New Roman" w:hAnsi="Times New Roman"/>
        </w:rPr>
        <w:t>（10）相关服务计划；</w:t>
      </w:r>
    </w:p>
    <w:p>
      <w:pPr>
        <w:spacing w:line="400" w:lineRule="exact"/>
        <w:ind w:firstLine="420" w:firstLineChars="0"/>
        <w:rPr>
          <w:rFonts w:hint="eastAsia" w:ascii="Times New Roman" w:hAnsi="Times New Roman" w:eastAsia="宋体"/>
          <w:color w:val="000000"/>
          <w:sz w:val="22"/>
          <w:lang w:eastAsia="zh-CN"/>
        </w:rPr>
      </w:pPr>
      <w:r>
        <w:rPr>
          <w:rFonts w:hint="eastAsia" w:ascii="Times New Roman" w:hAnsi="Times New Roman"/>
          <w:color w:val="000000"/>
          <w:sz w:val="22"/>
          <w:lang w:eastAsia="zh-CN"/>
        </w:rPr>
        <w:t>（</w:t>
      </w:r>
      <w:r>
        <w:rPr>
          <w:rFonts w:hint="eastAsia" w:ascii="Times New Roman" w:hAnsi="Times New Roman"/>
          <w:color w:val="000000"/>
          <w:sz w:val="22"/>
          <w:lang w:val="en-US" w:eastAsia="zh-CN"/>
        </w:rPr>
        <w:t>11</w:t>
      </w:r>
      <w:r>
        <w:rPr>
          <w:rFonts w:hint="eastAsia" w:ascii="Times New Roman" w:hAnsi="Times New Roman"/>
          <w:color w:val="000000"/>
          <w:sz w:val="22"/>
          <w:lang w:eastAsia="zh-CN"/>
        </w:rPr>
        <w:t>）</w:t>
      </w:r>
      <w:r>
        <w:rPr>
          <w:rFonts w:hint="eastAsia" w:ascii="宋体" w:hAnsi="宋体"/>
          <w:szCs w:val="21"/>
          <w:lang w:val="en-US" w:eastAsia="zh-CN"/>
        </w:rPr>
        <w:t>投标人须知前附表规定的</w:t>
      </w:r>
      <w:r>
        <w:rPr>
          <w:rFonts w:ascii="Times New Roman" w:hAnsi="Times New Roman"/>
        </w:rPr>
        <w:t>其他资料（如有）</w:t>
      </w:r>
      <w:r>
        <w:rPr>
          <w:rFonts w:hint="eastAsia" w:ascii="Times New Roman" w:hAnsi="Times New Roman"/>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3．我方承诺除</w:t>
      </w:r>
      <w:r>
        <w:rPr>
          <w:rFonts w:ascii="Times New Roman" w:hAnsi="Times New Roman"/>
          <w:color w:val="000000"/>
          <w:sz w:val="22"/>
        </w:rPr>
        <w:t>商务和技术</w:t>
      </w:r>
      <w:r>
        <w:rPr>
          <w:rFonts w:ascii="Times New Roman" w:hAnsi="Times New Roman"/>
          <w:szCs w:val="21"/>
        </w:rPr>
        <w:t>偏差表列出的偏差外，我方响应招标文件的全部要求。</w:t>
      </w:r>
    </w:p>
    <w:p>
      <w:pPr>
        <w:spacing w:line="440" w:lineRule="exact"/>
        <w:ind w:firstLine="420" w:firstLineChars="200"/>
        <w:rPr>
          <w:rFonts w:ascii="Times New Roman" w:hAnsi="Times New Roman"/>
          <w:szCs w:val="21"/>
        </w:rPr>
      </w:pPr>
      <w:r>
        <w:rPr>
          <w:rFonts w:ascii="Times New Roman" w:hAnsi="Times New Roman"/>
          <w:szCs w:val="21"/>
        </w:rPr>
        <w:t>4．我方承诺在招标文件规定的投标有效期内不撤销投标文件。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5．如我方中标，我方承诺：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623" w:name="_Toc369531694"/>
      <w:bookmarkStart w:id="624" w:name="_Toc1187"/>
      <w:bookmarkStart w:id="625" w:name="_Toc352691658"/>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623"/>
      <w:bookmarkEnd w:id="624"/>
      <w:bookmarkEnd w:id="625"/>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rPr>
        <w:t>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7．</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548"/>
    <w:bookmarkEnd w:id="549"/>
    <w:bookmarkEnd w:id="550"/>
    <w:bookmarkEnd w:id="551"/>
    <w:bookmarkEnd w:id="552"/>
    <w:bookmarkEnd w:id="553"/>
    <w:bookmarkEnd w:id="554"/>
    <w:bookmarkEnd w:id="600"/>
    <w:bookmarkEnd w:id="601"/>
    <w:p>
      <w:pPr>
        <w:spacing w:line="440" w:lineRule="exact"/>
        <w:ind w:firstLine="2520" w:firstLineChars="1200"/>
        <w:jc w:val="left"/>
        <w:rPr>
          <w:rFonts w:ascii="Times New Roman" w:hAnsi="Times New Roman"/>
          <w:szCs w:val="21"/>
        </w:rPr>
      </w:pPr>
      <w:bookmarkStart w:id="626" w:name="_Toc352691660"/>
      <w:bookmarkEnd w:id="626"/>
      <w:bookmarkStart w:id="627" w:name="_Toc16568"/>
      <w:bookmarkEnd w:id="627"/>
      <w:bookmarkStart w:id="628" w:name="_Toc369531696"/>
      <w:bookmarkEnd w:id="628"/>
      <w:bookmarkStart w:id="629" w:name="_Toc369531695"/>
      <w:bookmarkEnd w:id="629"/>
      <w:bookmarkStart w:id="630" w:name="_Toc16824"/>
      <w:bookmarkEnd w:id="630"/>
      <w:bookmarkStart w:id="631" w:name="_Toc352691659"/>
      <w:bookmarkEnd w:id="631"/>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法定代表人（单位负责人）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632" w:name="_Toc17960"/>
      <w:bookmarkStart w:id="633" w:name="_Toc384308375"/>
      <w:bookmarkStart w:id="634" w:name="_Toc300835209"/>
      <w:bookmarkStart w:id="635" w:name="_Toc144974856"/>
      <w:bookmarkStart w:id="636" w:name="_Toc152042576"/>
      <w:bookmarkStart w:id="637" w:name="_Toc369531697"/>
      <w:bookmarkStart w:id="638" w:name="_Toc361508752"/>
      <w:bookmarkStart w:id="639" w:name="_Toc247514246"/>
      <w:bookmarkStart w:id="640" w:name="_Toc352691661"/>
      <w:bookmarkStart w:id="641" w:name="_Toc152045787"/>
      <w:bookmarkStart w:id="642" w:name="_Toc247527827"/>
    </w:p>
    <w:p>
      <w:pPr>
        <w:spacing w:line="440" w:lineRule="exact"/>
        <w:rPr>
          <w:rFonts w:ascii="Times New Roman" w:hAnsi="Times New Roman" w:eastAsia="黑体"/>
          <w:sz w:val="20"/>
        </w:rPr>
      </w:pPr>
      <w:r>
        <w:rPr>
          <w:rFonts w:ascii="Times New Roman" w:hAnsi="Times New Roman"/>
          <w:szCs w:val="21"/>
        </w:rPr>
        <w:br w:type="page"/>
      </w:r>
    </w:p>
    <w:p>
      <w:pPr>
        <w:pStyle w:val="3"/>
        <w:jc w:val="center"/>
        <w:rPr>
          <w:rFonts w:ascii="Times New Roman" w:hAnsi="Times New Roman"/>
          <w:color w:val="000000"/>
        </w:rPr>
      </w:pPr>
      <w:bookmarkStart w:id="643" w:name="_Toc31415"/>
      <w:r>
        <w:rPr>
          <w:rFonts w:ascii="Times New Roman" w:hAnsi="Times New Roman"/>
          <w:color w:val="000000"/>
        </w:rPr>
        <w:t>二</w:t>
      </w:r>
      <w:bookmarkEnd w:id="632"/>
      <w:bookmarkEnd w:id="633"/>
      <w:bookmarkEnd w:id="634"/>
      <w:bookmarkEnd w:id="635"/>
      <w:bookmarkEnd w:id="636"/>
      <w:bookmarkEnd w:id="637"/>
      <w:bookmarkEnd w:id="638"/>
      <w:bookmarkEnd w:id="639"/>
      <w:bookmarkEnd w:id="640"/>
      <w:bookmarkEnd w:id="641"/>
      <w:bookmarkEnd w:id="642"/>
      <w:r>
        <w:rPr>
          <w:rFonts w:ascii="Times New Roman" w:hAnsi="Times New Roman"/>
          <w:color w:val="000000"/>
        </w:rPr>
        <w:t>、</w:t>
      </w:r>
      <w:r>
        <w:rPr>
          <w:rFonts w:hint="eastAsia" w:ascii="Times New Roman" w:hAnsi="Times New Roman"/>
          <w:color w:val="000000"/>
        </w:rPr>
        <w:t>法定代表人</w:t>
      </w:r>
      <w:r>
        <w:rPr>
          <w:rFonts w:hint="eastAsia" w:ascii="Times New Roman" w:hAnsi="Times New Roman"/>
          <w:color w:val="000000"/>
          <w:lang w:eastAsia="zh-CN"/>
        </w:rPr>
        <w:t>（</w:t>
      </w:r>
      <w:r>
        <w:rPr>
          <w:rFonts w:hint="eastAsia" w:ascii="Times New Roman" w:hAnsi="Times New Roman"/>
          <w:color w:val="000000"/>
          <w:lang w:val="en-US" w:eastAsia="zh-CN"/>
        </w:rPr>
        <w:t>单位负责人</w:t>
      </w:r>
      <w:r>
        <w:rPr>
          <w:rFonts w:hint="eastAsia" w:ascii="Times New Roman" w:hAnsi="Times New Roman"/>
          <w:color w:val="000000"/>
          <w:lang w:eastAsia="zh-CN"/>
        </w:rPr>
        <w:t>）</w:t>
      </w:r>
      <w:r>
        <w:rPr>
          <w:rFonts w:hint="eastAsia" w:ascii="Times New Roman" w:hAnsi="Times New Roman"/>
          <w:color w:val="000000"/>
        </w:rPr>
        <w:t>身份证明或授权委托书</w:t>
      </w:r>
      <w:bookmarkEnd w:id="643"/>
    </w:p>
    <w:p>
      <w:pPr>
        <w:jc w:val="center"/>
        <w:outlineLvl w:val="9"/>
        <w:rPr>
          <w:rFonts w:ascii="Times New Roman" w:hAnsi="Times New Roman"/>
          <w:b w:val="0"/>
          <w:bCs w:val="0"/>
          <w:color w:val="000000"/>
          <w:sz w:val="28"/>
          <w:szCs w:val="28"/>
        </w:rPr>
      </w:pPr>
      <w:commentRangeStart w:id="9"/>
      <w:r>
        <w:rPr>
          <w:rFonts w:ascii="Times New Roman" w:hAnsi="Times New Roman"/>
          <w:b w:val="0"/>
          <w:bCs w:val="0"/>
          <w:color w:val="000000"/>
          <w:sz w:val="28"/>
          <w:szCs w:val="28"/>
        </w:rPr>
        <w:t>法定代表人身份证明</w:t>
      </w:r>
      <w:commentRangeEnd w:id="9"/>
      <w:r>
        <w:commentReference w:id="9"/>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both"/>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commentRangeStart w:id="10"/>
      <w:r>
        <w:rPr>
          <w:rFonts w:ascii="Times New Roman" w:hAnsi="Times New Roman"/>
          <w:sz w:val="28"/>
          <w:szCs w:val="28"/>
        </w:rPr>
        <w:t>授权委托</w:t>
      </w:r>
      <w:r>
        <w:rPr>
          <w:rFonts w:ascii="Times New Roman" w:hAnsi="Times New Roman"/>
          <w:color w:val="000000"/>
          <w:sz w:val="28"/>
          <w:szCs w:val="28"/>
        </w:rPr>
        <w:t>书</w:t>
      </w:r>
      <w:commentRangeEnd w:id="10"/>
      <w:r>
        <w:commentReference w:id="10"/>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pStyle w:val="3"/>
        <w:jc w:val="center"/>
        <w:rPr>
          <w:rFonts w:ascii="Times New Roman" w:hAnsi="Times New Roman"/>
          <w:color w:val="000000"/>
        </w:rPr>
      </w:pPr>
      <w:bookmarkStart w:id="644" w:name="_Toc21854"/>
      <w:r>
        <w:rPr>
          <w:rFonts w:ascii="Times New Roman" w:hAnsi="Times New Roman"/>
          <w:color w:val="000000"/>
        </w:rPr>
        <w:t>三、联合体协议书</w:t>
      </w:r>
      <w:bookmarkEnd w:id="644"/>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hint="eastAsia" w:ascii="Times New Roman" w:hAnsi="Times New Roman"/>
        </w:rPr>
        <w:t>（项目名称）</w:t>
      </w:r>
      <w:r>
        <w:rPr>
          <w:rFonts w:ascii="Times New Roman" w:hAnsi="Times New Roman"/>
          <w:color w:val="000000"/>
        </w:rPr>
        <w:t>材料采购招标项目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645" w:name="_Toc300835212"/>
      <w:bookmarkStart w:id="646" w:name="_Toc247514249"/>
      <w:bookmarkStart w:id="647" w:name="_Toc247527830"/>
      <w:bookmarkStart w:id="648" w:name="_Toc152045790"/>
      <w:bookmarkStart w:id="649" w:name="_Toc152042579"/>
      <w:bookmarkStart w:id="650" w:name="_Toc144974859"/>
      <w:bookmarkStart w:id="651" w:name="_Toc384308378"/>
      <w:bookmarkStart w:id="652" w:name="_Toc361508755"/>
      <w:r>
        <w:rPr>
          <w:rFonts w:ascii="Times New Roman" w:hAnsi="Times New Roman"/>
          <w:color w:val="000000"/>
        </w:rPr>
        <w:t>关的</w:t>
      </w:r>
      <w:bookmarkStart w:id="653" w:name="_Toc369531700"/>
      <w:bookmarkStart w:id="654" w:name="_Toc352691664"/>
      <w:bookmarkStart w:id="655" w:name="_Toc7749"/>
      <w:r>
        <w:rPr>
          <w:rFonts w:ascii="Times New Roman" w:hAnsi="Times New Roman"/>
          <w:color w:val="000000"/>
        </w:rPr>
        <w:t>资料、信息及</w:t>
      </w:r>
      <w:bookmarkEnd w:id="653"/>
      <w:bookmarkEnd w:id="654"/>
      <w:bookmarkEnd w:id="655"/>
      <w:r>
        <w:rPr>
          <w:rFonts w:ascii="Times New Roman" w:hAnsi="Times New Roman"/>
          <w:color w:val="000000"/>
        </w:rPr>
        <w:t>指</w:t>
      </w:r>
      <w:bookmarkEnd w:id="645"/>
      <w:bookmarkEnd w:id="646"/>
      <w:bookmarkEnd w:id="647"/>
      <w:bookmarkEnd w:id="648"/>
      <w:bookmarkEnd w:id="649"/>
      <w:bookmarkEnd w:id="650"/>
      <w:bookmarkEnd w:id="651"/>
      <w:bookmarkEnd w:id="652"/>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656" w:name="_Toc300835213"/>
      <w:bookmarkStart w:id="657" w:name="_Toc247527831"/>
      <w:bookmarkStart w:id="658" w:name="_Toc384308380"/>
      <w:bookmarkStart w:id="659" w:name="_Toc152045791"/>
      <w:bookmarkStart w:id="660" w:name="_Toc27930"/>
      <w:bookmarkStart w:id="661" w:name="_Toc247514283"/>
      <w:bookmarkStart w:id="662" w:name="_Toc144974860"/>
      <w:bookmarkStart w:id="663" w:name="_Toc369531701"/>
      <w:bookmarkStart w:id="664" w:name="_Toc152042580"/>
      <w:bookmarkStart w:id="665" w:name="_Toc352691665"/>
      <w:bookmarkStart w:id="666" w:name="_Toc361508756"/>
      <w:r>
        <w:rPr>
          <w:rFonts w:ascii="Times New Roman" w:hAnsi="Times New Roman"/>
          <w:color w:val="000000"/>
        </w:rPr>
        <w:t>. 联合体牵头人在本项目中签署的一切文件和处理</w:t>
      </w:r>
      <w:bookmarkEnd w:id="656"/>
      <w:bookmarkEnd w:id="657"/>
      <w:bookmarkEnd w:id="658"/>
      <w:bookmarkEnd w:id="659"/>
      <w:bookmarkEnd w:id="660"/>
      <w:bookmarkEnd w:id="661"/>
      <w:bookmarkEnd w:id="662"/>
      <w:bookmarkEnd w:id="663"/>
      <w:bookmarkEnd w:id="664"/>
      <w:bookmarkEnd w:id="665"/>
      <w:bookmarkEnd w:id="666"/>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rPr>
          <w:rFonts w:ascii="Times New Roman" w:hAnsi="Times New Roman"/>
          <w:color w:val="000000"/>
        </w:rPr>
      </w:pPr>
      <w:r>
        <w:rPr>
          <w:rFonts w:ascii="Times New Roman" w:hAnsi="Times New Roman"/>
          <w:color w:val="000000"/>
        </w:rPr>
        <w:t>4. 联合体各成员单位内部的职责分工如下：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本协议书自所有成员单位法定代表人（单位负责人）或其委托代理人签字或盖单位章之日起生效，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注：本协议书由法定代表人（单位负责人）签字的，应附法定代表人（单位负责人）身份证明；由委托代理人签字的，应附授权委托书。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法定代表人（单位负责人）或其委托代理人：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3700" w:firstLineChars="1762"/>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667" w:name="_Toc20022"/>
      <w:r>
        <w:rPr>
          <w:rFonts w:ascii="Times New Roman" w:hAnsi="Times New Roman"/>
        </w:rPr>
        <w:t>四、</w:t>
      </w:r>
      <w:bookmarkStart w:id="668" w:name="_Toc352691666"/>
      <w:bookmarkStart w:id="669" w:name="_Toc361508757"/>
      <w:bookmarkStart w:id="670" w:name="_Toc300835214"/>
      <w:bookmarkStart w:id="671" w:name="_Toc247514284"/>
      <w:bookmarkStart w:id="672" w:name="_Toc144974861"/>
      <w:bookmarkStart w:id="673" w:name="_Toc247527832"/>
      <w:bookmarkStart w:id="674" w:name="_Toc384308381"/>
      <w:bookmarkStart w:id="675" w:name="_Toc13469"/>
      <w:bookmarkStart w:id="676" w:name="_Toc152045792"/>
      <w:bookmarkStart w:id="677" w:name="_Toc152042581"/>
      <w:bookmarkStart w:id="678" w:name="_Toc369531702"/>
      <w:r>
        <w:rPr>
          <w:rFonts w:ascii="Times New Roman" w:hAnsi="Times New Roman"/>
        </w:rPr>
        <w:t>投标保证金</w:t>
      </w:r>
      <w:bookmarkEnd w:id="667"/>
    </w:p>
    <w:bookmarkEnd w:id="668"/>
    <w:bookmarkEnd w:id="669"/>
    <w:bookmarkEnd w:id="670"/>
    <w:bookmarkEnd w:id="671"/>
    <w:bookmarkEnd w:id="672"/>
    <w:bookmarkEnd w:id="673"/>
    <w:bookmarkEnd w:id="674"/>
    <w:bookmarkEnd w:id="675"/>
    <w:bookmarkEnd w:id="676"/>
    <w:bookmarkEnd w:id="677"/>
    <w:bookmarkEnd w:id="678"/>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spacing w:line="440" w:lineRule="exact"/>
        <w:ind w:firstLine="2158" w:firstLineChars="1028"/>
        <w:jc w:val="right"/>
        <w:rPr>
          <w:rFonts w:ascii="Times New Roman" w:hAnsi="Times New Roman"/>
          <w:color w:val="000000"/>
          <w:u w:val="single"/>
        </w:rPr>
      </w:pPr>
    </w:p>
    <w:p>
      <w:pPr>
        <w:spacing w:line="440" w:lineRule="exact"/>
        <w:ind w:firstLine="2158" w:firstLineChars="1028"/>
        <w:rPr>
          <w:rFonts w:ascii="Times New Roman" w:hAnsi="Times New Roman"/>
          <w:color w:val="000000"/>
        </w:rPr>
      </w:pP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679" w:name="_Toc29749"/>
      <w:r>
        <w:rPr>
          <w:rFonts w:ascii="Times New Roman" w:hAnsi="Times New Roman"/>
        </w:rPr>
        <w:t>五、商务和技术偏差表</w:t>
      </w:r>
      <w:bookmarkEnd w:id="679"/>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694"/>
        <w:gridCol w:w="297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序号</w:t>
            </w:r>
          </w:p>
        </w:tc>
        <w:tc>
          <w:tcPr>
            <w:tcW w:w="269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招标文件章节及条款号</w:t>
            </w:r>
          </w:p>
        </w:tc>
        <w:tc>
          <w:tcPr>
            <w:tcW w:w="2979"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投标文件章节及条款号</w:t>
            </w:r>
          </w:p>
        </w:tc>
        <w:tc>
          <w:tcPr>
            <w:tcW w:w="1624" w:type="dxa"/>
            <w:vAlign w:val="bottom"/>
          </w:tcPr>
          <w:p>
            <w:pPr>
              <w:widowControl/>
              <w:snapToGrid w:val="0"/>
              <w:jc w:val="center"/>
              <w:rPr>
                <w:rFonts w:ascii="Times New Roman" w:hAnsi="Times New Roman"/>
                <w:b/>
                <w:kern w:val="0"/>
                <w:szCs w:val="21"/>
              </w:rPr>
            </w:pPr>
            <w:r>
              <w:rPr>
                <w:rFonts w:ascii="Times New Roman" w:hAnsi="Times New Roman"/>
                <w:b/>
                <w:kern w:val="0"/>
                <w:szCs w:val="21"/>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1</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2</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3</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4</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5</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bottom"/>
          </w:tcPr>
          <w:p>
            <w:pPr>
              <w:widowControl/>
              <w:snapToGrid w:val="0"/>
              <w:jc w:val="center"/>
              <w:rPr>
                <w:rFonts w:ascii="Times New Roman" w:hAnsi="Times New Roman"/>
                <w:kern w:val="0"/>
                <w:szCs w:val="21"/>
              </w:rPr>
            </w:pPr>
            <w:r>
              <w:rPr>
                <w:rFonts w:ascii="Times New Roman" w:hAnsi="Times New Roman"/>
                <w:kern w:val="0"/>
                <w:szCs w:val="21"/>
              </w:rPr>
              <w:t>……</w:t>
            </w:r>
          </w:p>
        </w:tc>
        <w:tc>
          <w:tcPr>
            <w:tcW w:w="2694" w:type="dxa"/>
            <w:vAlign w:val="bottom"/>
          </w:tcPr>
          <w:p>
            <w:pPr>
              <w:widowControl/>
              <w:snapToGrid w:val="0"/>
              <w:jc w:val="center"/>
              <w:rPr>
                <w:rFonts w:ascii="Times New Roman" w:hAnsi="Times New Roman"/>
                <w:kern w:val="0"/>
                <w:szCs w:val="21"/>
              </w:rPr>
            </w:pPr>
          </w:p>
        </w:tc>
        <w:tc>
          <w:tcPr>
            <w:tcW w:w="2979" w:type="dxa"/>
            <w:vAlign w:val="bottom"/>
          </w:tcPr>
          <w:p>
            <w:pPr>
              <w:widowControl/>
              <w:snapToGrid w:val="0"/>
              <w:jc w:val="center"/>
              <w:rPr>
                <w:rFonts w:ascii="Times New Roman" w:hAnsi="Times New Roman"/>
                <w:kern w:val="0"/>
                <w:szCs w:val="21"/>
              </w:rPr>
            </w:pPr>
          </w:p>
        </w:tc>
        <w:tc>
          <w:tcPr>
            <w:tcW w:w="1624" w:type="dxa"/>
            <w:vAlign w:val="bottom"/>
          </w:tcPr>
          <w:p>
            <w:pPr>
              <w:widowControl/>
              <w:snapToGrid w:val="0"/>
              <w:jc w:val="center"/>
              <w:rPr>
                <w:rFonts w:ascii="Times New Roman" w:hAnsi="Times New Roman"/>
                <w:kern w:val="0"/>
                <w:szCs w:val="21"/>
              </w:rPr>
            </w:pPr>
          </w:p>
        </w:tc>
      </w:tr>
    </w:tbl>
    <w:p>
      <w:pPr>
        <w:spacing w:line="440" w:lineRule="exact"/>
        <w:ind w:firstLine="420" w:firstLineChars="200"/>
        <w:rPr>
          <w:rFonts w:ascii="Times New Roman" w:hAnsi="Times New Roman"/>
          <w:szCs w:val="21"/>
        </w:rPr>
      </w:pPr>
      <w:r>
        <w:rPr>
          <w:rFonts w:ascii="Times New Roman" w:hAnsi="Times New Roman"/>
          <w:szCs w:val="21"/>
        </w:rPr>
        <w:t>投标人保证：除商务和技术偏差表列出的偏差外，投标人响应招标文件的全部要求。</w:t>
      </w:r>
    </w:p>
    <w:p>
      <w:pPr>
        <w:spacing w:line="440" w:lineRule="exact"/>
        <w:jc w:val="center"/>
        <w:rPr>
          <w:rFonts w:ascii="Times New Roman" w:hAnsi="Times New Roman" w:eastAsia="黑体"/>
          <w:sz w:val="27"/>
          <w:szCs w:val="27"/>
        </w:rPr>
      </w:pPr>
      <w:r>
        <w:rPr>
          <w:rFonts w:ascii="Times New Roman" w:hAnsi="Times New Roman" w:eastAsia="黑体"/>
          <w:sz w:val="20"/>
        </w:rPr>
        <w:br w:type="page"/>
      </w:r>
    </w:p>
    <w:p>
      <w:pPr>
        <w:pStyle w:val="3"/>
        <w:jc w:val="center"/>
        <w:rPr>
          <w:rFonts w:ascii="Times New Roman" w:hAnsi="Times New Roman"/>
        </w:rPr>
      </w:pPr>
      <w:bookmarkStart w:id="680" w:name="_Toc4052"/>
      <w:r>
        <w:rPr>
          <w:rFonts w:ascii="Times New Roman" w:hAnsi="Times New Roman"/>
        </w:rPr>
        <w:t>六、分项报价表</w:t>
      </w:r>
      <w:bookmarkEnd w:id="680"/>
    </w:p>
    <w:p>
      <w:pPr>
        <w:spacing w:line="440" w:lineRule="exact"/>
        <w:ind w:firstLine="420" w:firstLineChars="200"/>
        <w:rPr>
          <w:rFonts w:ascii="Times New Roman" w:hAnsi="Times New Roman"/>
          <w:szCs w:val="21"/>
        </w:rPr>
      </w:pPr>
      <w:bookmarkStart w:id="681" w:name="_Toc361508760"/>
      <w:r>
        <w:rPr>
          <w:rFonts w:hint="eastAsia" w:ascii="Times New Roman" w:hAnsi="Times New Roman"/>
          <w:szCs w:val="21"/>
        </w:rPr>
        <w:t>1. 分项报价表说明</w:t>
      </w:r>
    </w:p>
    <w:p>
      <w:pPr>
        <w:spacing w:line="440" w:lineRule="exact"/>
        <w:ind w:firstLine="420" w:firstLineChars="200"/>
        <w:rPr>
          <w:rFonts w:ascii="Times New Roman" w:hAnsi="Times New Roman"/>
          <w:szCs w:val="21"/>
        </w:rPr>
      </w:pPr>
      <w:r>
        <w:rPr>
          <w:rFonts w:hint="eastAsia" w:ascii="Times New Roman" w:hAnsi="Times New Roman"/>
          <w:szCs w:val="21"/>
        </w:rPr>
        <w:t>2. 分项报价表</w:t>
      </w:r>
    </w:p>
    <w:p>
      <w:pPr>
        <w:spacing w:line="440" w:lineRule="exact"/>
        <w:ind w:firstLine="420" w:firstLineChars="200"/>
        <w:jc w:val="right"/>
        <w:rPr>
          <w:rFonts w:ascii="Times New Roman" w:hAnsi="Times New Roman"/>
          <w:szCs w:val="21"/>
        </w:rPr>
      </w:pPr>
      <w:r>
        <w:rPr>
          <w:rFonts w:hint="eastAsia" w:ascii="Times New Roman" w:hAnsi="Times New Roman"/>
          <w:szCs w:val="21"/>
        </w:rPr>
        <w:t>单位：人民币元</w:t>
      </w:r>
    </w:p>
    <w:tbl>
      <w:tblPr>
        <w:tblStyle w:val="25"/>
        <w:tblW w:w="8789" w:type="dxa"/>
        <w:tblInd w:w="108" w:type="dxa"/>
        <w:tblLayout w:type="fixed"/>
        <w:tblCellMar>
          <w:top w:w="0" w:type="dxa"/>
          <w:left w:w="108" w:type="dxa"/>
          <w:bottom w:w="0" w:type="dxa"/>
          <w:right w:w="108" w:type="dxa"/>
        </w:tblCellMar>
      </w:tblPr>
      <w:tblGrid>
        <w:gridCol w:w="709"/>
        <w:gridCol w:w="1559"/>
        <w:gridCol w:w="993"/>
        <w:gridCol w:w="1134"/>
        <w:gridCol w:w="1417"/>
        <w:gridCol w:w="1701"/>
        <w:gridCol w:w="1276"/>
      </w:tblGrid>
      <w:tr>
        <w:tblPrEx>
          <w:tblCellMar>
            <w:top w:w="0" w:type="dxa"/>
            <w:left w:w="108" w:type="dxa"/>
            <w:bottom w:w="0" w:type="dxa"/>
            <w:right w:w="108" w:type="dxa"/>
          </w:tblCellMar>
        </w:tblPrEx>
        <w:trPr>
          <w:trHeight w:val="405" w:hRule="atLeast"/>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序号</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分项名称</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单位</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数量</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单价（元）</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总价（元）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1</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2</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3</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4</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center"/>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5</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rPr>
          <w:trHeight w:val="405" w:hRule="atLeast"/>
        </w:trPr>
        <w:tc>
          <w:tcPr>
            <w:tcW w:w="709"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1559" w:type="dxa"/>
            <w:tcBorders>
              <w:top w:val="nil"/>
              <w:left w:val="nil"/>
              <w:bottom w:val="single" w:color="auto" w:sz="4" w:space="0"/>
              <w:right w:val="single" w:color="auto" w:sz="4" w:space="0"/>
            </w:tcBorders>
            <w:vAlign w:val="center"/>
          </w:tcPr>
          <w:p>
            <w:pPr>
              <w:widowControl/>
              <w:jc w:val="center"/>
              <w:rPr>
                <w:rFonts w:ascii="Times New Roman" w:hAnsi="Times New Roman"/>
                <w:kern w:val="0"/>
                <w:szCs w:val="21"/>
              </w:rPr>
            </w:pPr>
            <w:r>
              <w:rPr>
                <w:rFonts w:ascii="Times New Roman" w:hAnsi="Times New Roman"/>
                <w:kern w:val="0"/>
                <w:szCs w:val="21"/>
              </w:rPr>
              <w:t>……</w:t>
            </w:r>
          </w:p>
        </w:tc>
        <w:tc>
          <w:tcPr>
            <w:tcW w:w="993"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134"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417"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701" w:type="dxa"/>
            <w:tcBorders>
              <w:top w:val="nil"/>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nil"/>
              <w:left w:val="nil"/>
              <w:bottom w:val="single" w:color="auto" w:sz="4" w:space="0"/>
              <w:right w:val="single" w:color="auto" w:sz="4" w:space="0"/>
            </w:tcBorders>
          </w:tcPr>
          <w:p>
            <w:pPr>
              <w:widowControl/>
              <w:jc w:val="left"/>
              <w:rPr>
                <w:rFonts w:ascii="Times New Roman" w:hAnsi="Times New Roman"/>
                <w:kern w:val="0"/>
                <w:szCs w:val="21"/>
              </w:rPr>
            </w:pPr>
          </w:p>
        </w:tc>
      </w:tr>
      <w:tr>
        <w:tblPrEx>
          <w:tblCellMar>
            <w:top w:w="0" w:type="dxa"/>
            <w:left w:w="108" w:type="dxa"/>
            <w:bottom w:w="0" w:type="dxa"/>
            <w:right w:w="108" w:type="dxa"/>
          </w:tblCellMar>
        </w:tblPrEx>
        <w:trPr>
          <w:trHeight w:val="405" w:hRule="atLeast"/>
        </w:trPr>
        <w:tc>
          <w:tcPr>
            <w:tcW w:w="5812"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kern w:val="0"/>
                <w:szCs w:val="21"/>
              </w:rPr>
            </w:pPr>
            <w:r>
              <w:rPr>
                <w:rFonts w:hint="eastAsia" w:ascii="Times New Roman" w:hAnsi="Times New Roman"/>
                <w:b/>
                <w:kern w:val="0"/>
                <w:szCs w:val="21"/>
              </w:rPr>
              <w:t>合计报价</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kern w:val="0"/>
                <w:szCs w:val="21"/>
              </w:rPr>
            </w:pPr>
          </w:p>
        </w:tc>
        <w:tc>
          <w:tcPr>
            <w:tcW w:w="1276" w:type="dxa"/>
            <w:tcBorders>
              <w:top w:val="single" w:color="auto" w:sz="4" w:space="0"/>
              <w:left w:val="nil"/>
              <w:bottom w:val="single" w:color="auto" w:sz="4" w:space="0"/>
              <w:right w:val="single" w:color="auto" w:sz="4" w:space="0"/>
            </w:tcBorders>
          </w:tcPr>
          <w:p>
            <w:pPr>
              <w:widowControl/>
              <w:jc w:val="left"/>
              <w:rPr>
                <w:rFonts w:ascii="Times New Roman" w:hAnsi="Times New Roman"/>
                <w:kern w:val="0"/>
                <w:szCs w:val="21"/>
              </w:rPr>
            </w:pPr>
          </w:p>
        </w:tc>
      </w:tr>
    </w:tbl>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682" w:name="_Toc5774"/>
      <w:r>
        <w:rPr>
          <w:rFonts w:ascii="Times New Roman" w:hAnsi="Times New Roman"/>
          <w:color w:val="000000"/>
        </w:rPr>
        <w:t>七、资格审查资料</w:t>
      </w:r>
      <w:bookmarkEnd w:id="682"/>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683" w:name="_Toc11852"/>
      <w:bookmarkStart w:id="684" w:name="_Toc13874"/>
      <w:bookmarkStart w:id="685" w:name="_Toc3231"/>
      <w:r>
        <w:rPr>
          <w:rFonts w:hint="eastAsia" w:ascii="黑体" w:hAnsi="宋体" w:eastAsia="黑体"/>
          <w:sz w:val="24"/>
        </w:rPr>
        <w:t>（一）投标人基本情况表</w:t>
      </w:r>
      <w:bookmarkEnd w:id="683"/>
      <w:bookmarkEnd w:id="684"/>
      <w:bookmarkEnd w:id="685"/>
    </w:p>
    <w:tbl>
      <w:tblPr>
        <w:tblStyle w:val="26"/>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26"/>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686" w:name="_Toc31036"/>
      <w:bookmarkStart w:id="687" w:name="_Toc24879"/>
      <w:bookmarkStart w:id="688" w:name="_Toc30360"/>
      <w:r>
        <w:rPr>
          <w:rFonts w:hint="eastAsia" w:ascii="黑体" w:hAnsi="宋体" w:eastAsia="黑体"/>
          <w:sz w:val="24"/>
        </w:rPr>
        <w:t>（二）近年财务状况表</w:t>
      </w:r>
      <w:bookmarkEnd w:id="686"/>
      <w:bookmarkEnd w:id="687"/>
      <w:bookmarkEnd w:id="688"/>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689" w:name="_Toc13428"/>
      <w:bookmarkStart w:id="690" w:name="_Toc24608"/>
      <w:bookmarkStart w:id="691" w:name="_Toc31716"/>
      <w:r>
        <w:rPr>
          <w:rFonts w:hint="eastAsia" w:ascii="黑体" w:hAnsi="宋体" w:eastAsia="黑体" w:cs="Times New Roman"/>
          <w:sz w:val="24"/>
        </w:rPr>
        <w:t>（三）近年完成的类似项目情况表</w:t>
      </w:r>
      <w:bookmarkEnd w:id="689"/>
      <w:bookmarkEnd w:id="690"/>
      <w:bookmarkEnd w:id="691"/>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681"/>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692" w:name="_Toc6605"/>
      <w:bookmarkStart w:id="693" w:name="_Toc21740"/>
      <w:bookmarkStart w:id="694" w:name="_Toc13962"/>
      <w:r>
        <w:rPr>
          <w:rFonts w:hint="eastAsia" w:ascii="黑体" w:hAnsi="宋体" w:eastAsia="黑体" w:cs="Times New Roman"/>
          <w:sz w:val="24"/>
        </w:rPr>
        <w:t>（四）正在</w:t>
      </w:r>
      <w:r>
        <w:rPr>
          <w:rFonts w:hint="eastAsia" w:ascii="黑体" w:hAnsi="宋体" w:eastAsia="黑体" w:cs="Times New Roman"/>
          <w:sz w:val="24"/>
          <w:lang w:val="en-US" w:eastAsia="zh-CN"/>
        </w:rPr>
        <w:t>供货</w:t>
      </w:r>
      <w:r>
        <w:rPr>
          <w:rFonts w:hint="eastAsia" w:ascii="黑体" w:hAnsi="宋体" w:eastAsia="黑体" w:cs="Times New Roman"/>
          <w:sz w:val="24"/>
        </w:rPr>
        <w:t>的和新承接的项目情况表</w:t>
      </w:r>
      <w:bookmarkEnd w:id="692"/>
      <w:bookmarkEnd w:id="693"/>
      <w:bookmarkEnd w:id="694"/>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695" w:name="_Toc8144"/>
      <w:bookmarkStart w:id="696" w:name="_Toc10877"/>
      <w:bookmarkStart w:id="697" w:name="_Toc4460"/>
      <w:bookmarkStart w:id="698" w:name="_Toc417894637"/>
      <w:bookmarkStart w:id="699" w:name="_Toc474741581"/>
      <w:bookmarkStart w:id="700" w:name="_Toc417894676"/>
      <w:r>
        <w:rPr>
          <w:rFonts w:hint="eastAsia" w:ascii="黑体" w:hAnsi="宋体" w:eastAsia="黑体"/>
          <w:sz w:val="24"/>
        </w:rPr>
        <w:t>（五）</w:t>
      </w:r>
      <w:r>
        <w:rPr>
          <w:rFonts w:hint="eastAsia" w:ascii="黑体" w:hAnsi="宋体" w:eastAsia="黑体"/>
          <w:sz w:val="24"/>
          <w:lang w:val="en-US" w:eastAsia="zh-CN"/>
        </w:rPr>
        <w:t>企业获奖</w:t>
      </w:r>
      <w:bookmarkEnd w:id="695"/>
      <w:bookmarkEnd w:id="696"/>
      <w:bookmarkEnd w:id="697"/>
    </w:p>
    <w:tbl>
      <w:tblPr>
        <w:tblStyle w:val="26"/>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701" w:name="_Toc11658"/>
      <w:bookmarkStart w:id="702" w:name="_Toc19181"/>
      <w:bookmarkStart w:id="703" w:name="_Toc22112"/>
      <w:r>
        <w:rPr>
          <w:rFonts w:hint="eastAsia" w:ascii="黑体" w:hAnsi="宋体" w:eastAsia="黑体"/>
          <w:sz w:val="24"/>
        </w:rPr>
        <w:t>（六）企业</w:t>
      </w:r>
      <w:r>
        <w:rPr>
          <w:rFonts w:hint="eastAsia" w:ascii="黑体" w:hAnsi="宋体" w:eastAsia="黑体"/>
          <w:sz w:val="24"/>
          <w:lang w:val="en-US" w:eastAsia="zh-CN"/>
        </w:rPr>
        <w:t>各类证书</w:t>
      </w:r>
      <w:bookmarkEnd w:id="701"/>
      <w:bookmarkEnd w:id="702"/>
      <w:bookmarkEnd w:id="703"/>
    </w:p>
    <w:tbl>
      <w:tblPr>
        <w:tblStyle w:val="26"/>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b/>
          <w:bCs/>
          <w:color w:val="auto"/>
          <w:sz w:val="24"/>
          <w:lang w:val="en-US" w:eastAsia="zh-CN"/>
        </w:rPr>
      </w:pPr>
      <w:bookmarkStart w:id="704" w:name="_Toc15731"/>
      <w:r>
        <w:rPr>
          <w:rFonts w:hint="eastAsia" w:ascii="黑体" w:hAnsi="宋体" w:eastAsia="黑体"/>
          <w:b/>
          <w:bCs/>
          <w:color w:val="auto"/>
          <w:sz w:val="24"/>
          <w:lang w:val="en-US" w:eastAsia="zh-CN"/>
        </w:rPr>
        <w:t>（七）制造商授权书</w:t>
      </w:r>
      <w:bookmarkEnd w:id="698"/>
      <w:bookmarkEnd w:id="699"/>
      <w:bookmarkEnd w:id="700"/>
      <w:bookmarkEnd w:id="704"/>
    </w:p>
    <w:p>
      <w:pPr>
        <w:spacing w:line="540" w:lineRule="exact"/>
        <w:ind w:left="1120" w:hanging="964" w:hangingChars="400"/>
        <w:jc w:val="center"/>
        <w:rPr>
          <w:rFonts w:hint="eastAsia" w:ascii="黑体" w:hAnsi="Times New Roman" w:eastAsia="黑体"/>
          <w:b/>
          <w:bCs/>
          <w:color w:val="auto"/>
          <w:sz w:val="24"/>
          <w:szCs w:val="24"/>
        </w:rPr>
      </w:pPr>
      <w:r>
        <w:rPr>
          <w:rFonts w:hint="eastAsia" w:ascii="黑体" w:hAnsi="Times New Roman" w:eastAsia="黑体"/>
          <w:b/>
          <w:bCs/>
          <w:color w:val="auto"/>
          <w:sz w:val="24"/>
          <w:szCs w:val="24"/>
        </w:rPr>
        <w:t>制造商授权书</w:t>
      </w:r>
    </w:p>
    <w:p>
      <w:pPr>
        <w:spacing w:line="540" w:lineRule="exact"/>
        <w:ind w:left="1120" w:hanging="1120" w:hangingChars="400"/>
        <w:jc w:val="center"/>
        <w:rPr>
          <w:rFonts w:ascii="Times New Roman" w:hAnsi="Times New Roman" w:eastAsia="经典粗黑简"/>
          <w:sz w:val="28"/>
          <w:szCs w:val="28"/>
        </w:rPr>
      </w:pPr>
    </w:p>
    <w:p>
      <w:pPr>
        <w:spacing w:line="440" w:lineRule="exact"/>
        <w:ind w:left="840" w:hanging="840"/>
        <w:rPr>
          <w:rFonts w:ascii="Times New Roman" w:hAnsi="Times New Roman"/>
        </w:rPr>
      </w:pPr>
      <w:r>
        <w:rPr>
          <w:rFonts w:ascii="Times New Roman" w:hAnsi="Times New Roman"/>
        </w:rPr>
        <w:t>致：</w:t>
      </w:r>
      <w:r>
        <w:rPr>
          <w:rFonts w:ascii="Times New Roman" w:hAnsi="Times New Roman"/>
          <w:color w:val="000000"/>
          <w:u w:val="single"/>
        </w:rPr>
        <w:t xml:space="preserve">              </w:t>
      </w:r>
      <w:r>
        <w:rPr>
          <w:rFonts w:ascii="Times New Roman" w:hAnsi="Times New Roman"/>
        </w:rPr>
        <w:t>（招标人）</w:t>
      </w:r>
    </w:p>
    <w:p>
      <w:pPr>
        <w:spacing w:line="440" w:lineRule="exact"/>
        <w:ind w:firstLine="420"/>
        <w:rPr>
          <w:rFonts w:ascii="Times New Roman" w:hAnsi="Times New Roman"/>
          <w:color w:val="000000"/>
        </w:rPr>
      </w:pPr>
      <w:r>
        <w:rPr>
          <w:rFonts w:ascii="Times New Roman" w:hAnsi="Times New Roman"/>
        </w:rPr>
        <w:t>我单位</w:t>
      </w:r>
      <w:r>
        <w:rPr>
          <w:rFonts w:ascii="Times New Roman" w:hAnsi="Times New Roman"/>
          <w:color w:val="000000"/>
          <w:u w:val="single"/>
        </w:rPr>
        <w:t xml:space="preserve">           </w:t>
      </w:r>
      <w:r>
        <w:rPr>
          <w:rFonts w:ascii="Times New Roman" w:hAnsi="Times New Roman"/>
        </w:rPr>
        <w:t>（制造商名称）是按</w:t>
      </w:r>
      <w:r>
        <w:rPr>
          <w:rFonts w:ascii="Times New Roman" w:hAnsi="Times New Roman"/>
          <w:color w:val="000000"/>
          <w:u w:val="single"/>
        </w:rPr>
        <w:t xml:space="preserve">              </w:t>
      </w:r>
      <w:r>
        <w:rPr>
          <w:rFonts w:ascii="Times New Roman" w:hAnsi="Times New Roman"/>
        </w:rPr>
        <w:t>（国家／地区名称）法律成立的一家制造商，主要营业地点设在</w:t>
      </w:r>
      <w:r>
        <w:rPr>
          <w:rFonts w:ascii="Times New Roman" w:hAnsi="Times New Roman"/>
          <w:color w:val="000000"/>
          <w:u w:val="single"/>
        </w:rPr>
        <w:t xml:space="preserve">             </w:t>
      </w:r>
      <w:r>
        <w:rPr>
          <w:rFonts w:ascii="Times New Roman" w:hAnsi="Times New Roman"/>
        </w:rPr>
        <w:t>（制造商地址）。兹授权按</w:t>
      </w:r>
      <w:r>
        <w:rPr>
          <w:rFonts w:ascii="Times New Roman" w:hAnsi="Times New Roman"/>
          <w:color w:val="000000"/>
          <w:u w:val="single"/>
        </w:rPr>
        <w:t xml:space="preserve">         </w:t>
      </w:r>
      <w:r>
        <w:rPr>
          <w:rFonts w:ascii="Times New Roman" w:hAnsi="Times New Roman"/>
        </w:rPr>
        <w:t>（国家／地区名称）的法律正式成立的，主要营业地点设在</w:t>
      </w:r>
      <w:r>
        <w:rPr>
          <w:rFonts w:ascii="Times New Roman" w:hAnsi="Times New Roman"/>
          <w:color w:val="000000"/>
          <w:u w:val="single"/>
        </w:rPr>
        <w:t xml:space="preserve">       </w:t>
      </w:r>
      <w:r>
        <w:rPr>
          <w:rFonts w:ascii="Times New Roman" w:hAnsi="Times New Roman"/>
        </w:rPr>
        <w:t>（投标人的单位地址）的</w:t>
      </w:r>
      <w:r>
        <w:rPr>
          <w:rFonts w:ascii="Times New Roman" w:hAnsi="Times New Roman"/>
          <w:color w:val="000000"/>
          <w:u w:val="single"/>
        </w:rPr>
        <w:t xml:space="preserve">              </w:t>
      </w:r>
      <w:r>
        <w:rPr>
          <w:rFonts w:ascii="Times New Roman" w:hAnsi="Times New Roman"/>
        </w:rPr>
        <w:t>（投标人名称）以我单位制造的</w:t>
      </w:r>
      <w:r>
        <w:rPr>
          <w:rFonts w:ascii="Times New Roman" w:hAnsi="Times New Roman"/>
          <w:color w:val="000000"/>
          <w:u w:val="single"/>
        </w:rPr>
        <w:t xml:space="preserve">            </w:t>
      </w:r>
      <w:r>
        <w:rPr>
          <w:rFonts w:ascii="Times New Roman" w:hAnsi="Times New Roman"/>
          <w:color w:val="000000"/>
        </w:rPr>
        <w:t>（材料名称）进行</w:t>
      </w:r>
      <w:r>
        <w:rPr>
          <w:rFonts w:ascii="Times New Roman" w:hAnsi="Times New Roman"/>
          <w:color w:val="000000"/>
          <w:u w:val="single"/>
        </w:rPr>
        <w:t xml:space="preserve">                 </w:t>
      </w:r>
      <w:r>
        <w:rPr>
          <w:rFonts w:ascii="Times New Roman" w:hAnsi="Times New Roman"/>
          <w:color w:val="000000"/>
        </w:rPr>
        <w:t>（项目名称）投标活动。我单位同意按照中标合同供货，并对产品质量承担责任。</w:t>
      </w:r>
    </w:p>
    <w:p>
      <w:pPr>
        <w:spacing w:line="440" w:lineRule="exact"/>
        <w:ind w:firstLine="420"/>
        <w:rPr>
          <w:rFonts w:ascii="Times New Roman" w:hAnsi="Times New Roman"/>
        </w:rPr>
      </w:pPr>
      <w:r>
        <w:rPr>
          <w:rFonts w:ascii="Times New Roman" w:hAnsi="Times New Roman"/>
        </w:rPr>
        <w:t>授权期限：</w:t>
      </w:r>
      <w:r>
        <w:rPr>
          <w:rFonts w:ascii="Times New Roman" w:hAnsi="Times New Roman"/>
          <w:color w:val="000000"/>
          <w:u w:val="single"/>
        </w:rPr>
        <w:t xml:space="preserve">                            </w:t>
      </w:r>
      <w:r>
        <w:rPr>
          <w:rFonts w:ascii="Times New Roman" w:hAnsi="Times New Roman"/>
          <w:color w:val="000000"/>
        </w:rPr>
        <w:t>。</w:t>
      </w:r>
    </w:p>
    <w:p>
      <w:pPr>
        <w:spacing w:line="440" w:lineRule="exact"/>
        <w:rPr>
          <w:rFonts w:ascii="Times New Roman" w:hAnsi="Times New Roman"/>
        </w:rPr>
      </w:pPr>
    </w:p>
    <w:p>
      <w:pPr>
        <w:spacing w:line="440" w:lineRule="exact"/>
        <w:rPr>
          <w:rFonts w:ascii="Times New Roman" w:hAnsi="Times New Roman"/>
        </w:rPr>
      </w:pPr>
    </w:p>
    <w:p>
      <w:pPr>
        <w:spacing w:line="440" w:lineRule="exact"/>
        <w:rPr>
          <w:rFonts w:ascii="Times New Roman" w:hAnsi="Times New Roman"/>
          <w:color w:val="000000"/>
          <w:u w:val="single"/>
        </w:rPr>
      </w:pPr>
      <w:r>
        <w:rPr>
          <w:rFonts w:ascii="Times New Roman" w:hAnsi="Times New Roman"/>
        </w:rPr>
        <w:t>投标人名称：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r>
        <w:rPr>
          <w:rFonts w:ascii="Times New Roman" w:hAnsi="Times New Roman"/>
        </w:rPr>
        <w:t xml:space="preserve">  制造商名称：</w:t>
      </w:r>
      <w:r>
        <w:rPr>
          <w:rFonts w:ascii="Times New Roman" w:hAnsi="Times New Roman"/>
          <w:color w:val="000000"/>
          <w:u w:val="single"/>
        </w:rPr>
        <w:t xml:space="preserve">               </w:t>
      </w:r>
      <w:r>
        <w:rPr>
          <w:rFonts w:hint="eastAsia" w:ascii="Times New Roman" w:hAnsi="Times New Roman"/>
          <w:color w:val="000000"/>
          <w:u w:val="single"/>
        </w:rPr>
        <w:t xml:space="preserve">  </w:t>
      </w:r>
      <w:r>
        <w:rPr>
          <w:rFonts w:hint="eastAsia" w:ascii="Times New Roman" w:hAnsi="Times New Roman"/>
          <w:color w:val="000000"/>
        </w:rPr>
        <w:t>（盖单位章）</w:t>
      </w:r>
    </w:p>
    <w:p>
      <w:pPr>
        <w:spacing w:line="440" w:lineRule="exact"/>
        <w:rPr>
          <w:rFonts w:ascii="Times New Roman" w:hAnsi="Times New Roman"/>
        </w:rPr>
      </w:pPr>
      <w:r>
        <w:rPr>
          <w:rFonts w:ascii="Times New Roman" w:hAnsi="Times New Roman"/>
        </w:rPr>
        <w:t>签字人职务：</w:t>
      </w:r>
      <w:r>
        <w:rPr>
          <w:rFonts w:ascii="Times New Roman" w:hAnsi="Times New Roman"/>
          <w:color w:val="000000"/>
          <w:u w:val="single"/>
        </w:rPr>
        <w:t xml:space="preserve">                            </w:t>
      </w:r>
      <w:r>
        <w:rPr>
          <w:rFonts w:ascii="Times New Roman" w:hAnsi="Times New Roman"/>
        </w:rPr>
        <w:t xml:space="preserve">  签字人职务：</w:t>
      </w:r>
      <w:r>
        <w:rPr>
          <w:rFonts w:ascii="Times New Roman" w:hAnsi="Times New Roman"/>
          <w:color w:val="000000"/>
          <w:u w:val="single"/>
        </w:rPr>
        <w:t xml:space="preserve">                            </w:t>
      </w:r>
    </w:p>
    <w:p>
      <w:pPr>
        <w:spacing w:line="440" w:lineRule="exact"/>
        <w:ind w:left="840" w:hanging="840"/>
        <w:rPr>
          <w:rFonts w:ascii="Times New Roman" w:hAnsi="Times New Roman"/>
        </w:rPr>
      </w:pPr>
      <w:r>
        <w:rPr>
          <w:rFonts w:ascii="Times New Roman" w:hAnsi="Times New Roman"/>
        </w:rPr>
        <w:t>签字人姓名：</w:t>
      </w:r>
      <w:r>
        <w:rPr>
          <w:rFonts w:ascii="Times New Roman" w:hAnsi="Times New Roman"/>
          <w:color w:val="000000"/>
          <w:u w:val="single"/>
        </w:rPr>
        <w:t xml:space="preserve">                            </w:t>
      </w:r>
      <w:r>
        <w:rPr>
          <w:rFonts w:ascii="Times New Roman" w:hAnsi="Times New Roman"/>
        </w:rPr>
        <w:t xml:space="preserve">  签字人姓名：</w:t>
      </w:r>
      <w:r>
        <w:rPr>
          <w:rFonts w:ascii="Times New Roman" w:hAnsi="Times New Roman"/>
          <w:color w:val="000000"/>
          <w:u w:val="single"/>
        </w:rPr>
        <w:t xml:space="preserve">                            </w:t>
      </w:r>
    </w:p>
    <w:p>
      <w:pPr>
        <w:spacing w:line="440" w:lineRule="exact"/>
        <w:rPr>
          <w:rFonts w:ascii="Times New Roman" w:hAnsi="Times New Roman"/>
        </w:rPr>
      </w:pPr>
      <w:r>
        <w:rPr>
          <w:rFonts w:ascii="Times New Roman" w:hAnsi="Times New Roman"/>
        </w:rPr>
        <w:t>签字人签名：</w:t>
      </w:r>
      <w:r>
        <w:rPr>
          <w:rFonts w:ascii="Times New Roman" w:hAnsi="Times New Roman"/>
          <w:color w:val="000000"/>
          <w:u w:val="single"/>
        </w:rPr>
        <w:t xml:space="preserve">                            </w:t>
      </w:r>
      <w:r>
        <w:rPr>
          <w:rFonts w:ascii="Times New Roman" w:hAnsi="Times New Roman"/>
        </w:rPr>
        <w:t xml:space="preserve">  签字人签名：</w:t>
      </w:r>
      <w:r>
        <w:rPr>
          <w:rFonts w:ascii="Times New Roman" w:hAnsi="Times New Roman"/>
          <w:color w:val="000000"/>
          <w:u w:val="single"/>
        </w:rPr>
        <w:t xml:space="preserve">                            </w:t>
      </w:r>
    </w:p>
    <w:p>
      <w:pPr>
        <w:spacing w:line="440" w:lineRule="exact"/>
        <w:rPr>
          <w:rFonts w:ascii="Times New Roman" w:hAnsi="Times New Roman"/>
          <w:color w:val="000000"/>
        </w:rPr>
      </w:pPr>
      <w:r>
        <w:rPr>
          <w:rFonts w:ascii="Times New Roman" w:hAnsi="Times New Roman"/>
        </w:rPr>
        <w:br w:type="page"/>
      </w:r>
    </w:p>
    <w:p>
      <w:pPr>
        <w:pStyle w:val="3"/>
        <w:spacing w:line="400" w:lineRule="exact"/>
        <w:jc w:val="center"/>
        <w:rPr>
          <w:rFonts w:ascii="Times New Roman" w:hAnsi="Times New Roman"/>
        </w:rPr>
      </w:pPr>
      <w:bookmarkStart w:id="705" w:name="_Toc22878"/>
      <w:r>
        <w:rPr>
          <w:rFonts w:ascii="Times New Roman" w:hAnsi="Times New Roman"/>
        </w:rPr>
        <w:t>八、投标材料质量标准的详细描述</w:t>
      </w:r>
      <w:bookmarkEnd w:id="705"/>
    </w:p>
    <w:p>
      <w:pPr>
        <w:pStyle w:val="3"/>
        <w:spacing w:line="400" w:lineRule="exact"/>
        <w:jc w:val="center"/>
        <w:rPr>
          <w:rFonts w:ascii="Times New Roman" w:hAnsi="Times New Roman"/>
        </w:rPr>
      </w:pPr>
      <w:r>
        <w:rPr>
          <w:rFonts w:ascii="Times New Roman" w:hAnsi="Times New Roman"/>
        </w:rPr>
        <w:br w:type="page"/>
      </w:r>
      <w:bookmarkStart w:id="706" w:name="_Toc31067"/>
      <w:r>
        <w:rPr>
          <w:rFonts w:ascii="Times New Roman" w:hAnsi="Times New Roman"/>
        </w:rPr>
        <w:t>九、技术支持资料</w:t>
      </w:r>
      <w:bookmarkEnd w:id="706"/>
    </w:p>
    <w:p>
      <w:pPr>
        <w:spacing w:line="400" w:lineRule="exact"/>
        <w:jc w:val="center"/>
        <w:outlineLvl w:val="9"/>
        <w:rPr>
          <w:rFonts w:ascii="Times New Roman" w:hAnsi="Times New Roman"/>
        </w:rPr>
      </w:pPr>
      <w:r>
        <w:rPr>
          <w:rFonts w:ascii="Times New Roman" w:hAnsi="Times New Roman"/>
        </w:rPr>
        <w:br w:type="page"/>
      </w:r>
    </w:p>
    <w:p>
      <w:pPr>
        <w:pStyle w:val="3"/>
        <w:spacing w:line="400" w:lineRule="exact"/>
        <w:jc w:val="center"/>
        <w:rPr>
          <w:rFonts w:ascii="Times New Roman" w:hAnsi="Times New Roman"/>
          <w:b w:val="0"/>
        </w:rPr>
      </w:pPr>
      <w:bookmarkStart w:id="707" w:name="_Toc31257"/>
      <w:r>
        <w:rPr>
          <w:rFonts w:ascii="Times New Roman" w:hAnsi="Times New Roman"/>
        </w:rPr>
        <w:t>十、相关服务计划</w:t>
      </w:r>
      <w:bookmarkEnd w:id="707"/>
    </w:p>
    <w:p>
      <w:pPr>
        <w:spacing w:line="400" w:lineRule="exact"/>
        <w:jc w:val="center"/>
        <w:outlineLvl w:val="9"/>
        <w:rPr>
          <w:rFonts w:ascii="Times New Roman" w:hAnsi="Times New Roman"/>
        </w:rPr>
      </w:pPr>
    </w:p>
    <w:p>
      <w:pPr>
        <w:pStyle w:val="3"/>
        <w:spacing w:line="400" w:lineRule="exact"/>
        <w:jc w:val="center"/>
        <w:rPr>
          <w:rFonts w:ascii="Times New Roman" w:hAnsi="Times New Roman"/>
        </w:rPr>
      </w:pPr>
      <w:r>
        <w:rPr>
          <w:rFonts w:ascii="Times New Roman" w:hAnsi="Times New Roman"/>
        </w:rPr>
        <w:br w:type="page"/>
      </w:r>
      <w:bookmarkStart w:id="708" w:name="_Toc25072"/>
      <w:r>
        <w:rPr>
          <w:rFonts w:ascii="Times New Roman" w:hAnsi="Times New Roman"/>
        </w:rPr>
        <w:t>十一、</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708"/>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4"/>
          <w:szCs w:val="24"/>
          <w:highlight w:val="none"/>
        </w:rPr>
      </w:pPr>
      <w:r>
        <w:commentReference w:id="11"/>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16"/>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ascii="Times New Roman" w:hAnsi="Times New Roman"/>
        </w:rPr>
      </w:pPr>
      <w:r>
        <w:rPr>
          <w:rFonts w:hint="eastAsia" w:ascii="宋体" w:hAnsi="宋体" w:eastAsia="宋体" w:cs="宋体"/>
          <w:sz w:val="24"/>
          <w:szCs w:val="24"/>
          <w:highlight w:val="none"/>
        </w:rPr>
        <w:t xml:space="preserve">                                                       （企业公章）</w:t>
      </w:r>
    </w:p>
    <w:p>
      <w:pPr>
        <w:rPr>
          <w:rFonts w:ascii="Times New Roman" w:hAnsi="Times New Roman"/>
        </w:rPr>
      </w:pPr>
    </w:p>
    <w:p>
      <w:pPr>
        <w:rPr>
          <w:rFonts w:ascii="Times New Roman" w:hAnsi="Times New Roman"/>
        </w:rPr>
      </w:pPr>
    </w:p>
    <w:sectPr>
      <w:footerReference r:id="rId5" w:type="default"/>
      <w:type w:val="continuous"/>
      <w:pgSz w:w="12240" w:h="15840"/>
      <w:pgMar w:top="1440" w:right="1800" w:bottom="1440" w:left="1800" w:header="720" w:footer="720" w:gutter="0"/>
      <w:cols w:space="720" w:num="1"/>
      <w:docGrid w:linePitch="285"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hlj17" w:date="2023-06-05T10:45:14Z" w:initials="h">
    <w:p w14:paraId="50430987">
      <w:pPr>
        <w:pStyle w:val="8"/>
        <w:rPr>
          <w:rFonts w:hint="default" w:eastAsia="宋体"/>
          <w:lang w:val="en-US" w:eastAsia="zh-CN"/>
        </w:rPr>
      </w:pPr>
      <w:r>
        <w:rPr>
          <w:rFonts w:hint="eastAsia"/>
          <w:lang w:val="en-US" w:eastAsia="zh-CN"/>
        </w:rPr>
        <w:t>修改说法</w:t>
      </w:r>
    </w:p>
  </w:comment>
  <w:comment w:id="1" w:author="hlj17" w:date="2023-06-05T10:44:36Z" w:initials="h">
    <w:p w14:paraId="7B631AF3">
      <w:pPr>
        <w:pStyle w:val="8"/>
        <w:rPr>
          <w:rFonts w:hint="default" w:eastAsia="宋体"/>
          <w:lang w:val="en-US" w:eastAsia="zh-CN"/>
        </w:rPr>
      </w:pPr>
      <w:r>
        <w:rPr>
          <w:rFonts w:hint="eastAsia"/>
          <w:lang w:val="en-US" w:eastAsia="zh-CN"/>
        </w:rPr>
        <w:t>3到7</w:t>
      </w:r>
    </w:p>
  </w:comment>
  <w:comment w:id="2" w:author="hlj17" w:date="2023-06-05T14:52:21Z" w:initials="h">
    <w:p w14:paraId="01F50107">
      <w:pPr>
        <w:pStyle w:val="8"/>
        <w:rPr>
          <w:rFonts w:hint="default" w:eastAsia="宋体"/>
          <w:lang w:val="en-US" w:eastAsia="zh-CN"/>
        </w:rPr>
      </w:pPr>
      <w:r>
        <w:rPr>
          <w:rFonts w:hint="eastAsia"/>
          <w:lang w:val="en-US" w:eastAsia="zh-CN"/>
        </w:rPr>
        <w:t>删除原15条</w:t>
      </w:r>
    </w:p>
  </w:comment>
  <w:comment w:id="3" w:author="hlj17" w:date="2023-06-05T10:47:58Z" w:initials="h">
    <w:p w14:paraId="73D7758B">
      <w:pPr>
        <w:pStyle w:val="8"/>
        <w:rPr>
          <w:rFonts w:hint="default" w:eastAsia="宋体"/>
          <w:lang w:val="en-US" w:eastAsia="zh-CN"/>
        </w:rPr>
      </w:pPr>
      <w:r>
        <w:rPr>
          <w:rFonts w:hint="eastAsia"/>
          <w:lang w:val="en-US" w:eastAsia="zh-CN"/>
        </w:rPr>
        <w:t>予以拒收</w:t>
      </w:r>
    </w:p>
  </w:comment>
  <w:comment w:id="4" w:author="hlj17" w:date="2023-06-05T10:48:25Z" w:initials="h">
    <w:p w14:paraId="05D7793D">
      <w:pPr>
        <w:pStyle w:val="8"/>
        <w:rPr>
          <w:rFonts w:hint="default" w:eastAsia="宋体"/>
          <w:lang w:val="en-US" w:eastAsia="zh-CN"/>
        </w:rPr>
      </w:pPr>
      <w:r>
        <w:rPr>
          <w:rFonts w:hint="eastAsia"/>
          <w:lang w:eastAsia="zh-CN"/>
        </w:rPr>
        <w:t>？</w:t>
      </w:r>
      <w:r>
        <w:rPr>
          <w:rFonts w:hint="eastAsia"/>
          <w:lang w:val="en-US" w:eastAsia="zh-CN"/>
        </w:rPr>
        <w:t>修改</w:t>
      </w:r>
    </w:p>
  </w:comment>
  <w:comment w:id="5" w:author="hlj17" w:date="2023-06-05T14:54:11Z" w:initials="h">
    <w:p w14:paraId="09F37093">
      <w:pPr>
        <w:pStyle w:val="8"/>
        <w:rPr>
          <w:rFonts w:hint="eastAsia" w:eastAsia="宋体"/>
          <w:lang w:val="en-US" w:eastAsia="zh-CN"/>
        </w:rPr>
      </w:pPr>
      <w:r>
        <w:rPr>
          <w:rFonts w:hint="eastAsia"/>
          <w:lang w:val="en-US" w:eastAsia="zh-CN"/>
        </w:rPr>
        <w:t>删除</w:t>
      </w:r>
    </w:p>
  </w:comment>
  <w:comment w:id="6" w:author="hlj17" w:date="2023-06-05T10:49:23Z" w:initials="h">
    <w:p w14:paraId="2E6C4F85">
      <w:pPr>
        <w:pStyle w:val="8"/>
        <w:rPr>
          <w:rFonts w:hint="default" w:eastAsia="宋体"/>
          <w:lang w:val="en-US" w:eastAsia="zh-CN"/>
        </w:rPr>
      </w:pPr>
      <w:r>
        <w:rPr>
          <w:rFonts w:hint="eastAsia"/>
          <w:lang w:val="en-US" w:eastAsia="zh-CN"/>
        </w:rPr>
        <w:t>修改说法</w:t>
      </w:r>
    </w:p>
  </w:comment>
  <w:comment w:id="7" w:author="hlj17" w:date="2023-06-05T10:16:08Z" w:initials="h">
    <w:p w14:paraId="627A14D2">
      <w:pPr>
        <w:pStyle w:val="8"/>
        <w:rPr>
          <w:rFonts w:hint="default" w:eastAsia="宋体"/>
          <w:lang w:val="en-US" w:eastAsia="zh-CN"/>
        </w:rPr>
      </w:pPr>
      <w:r>
        <w:rPr>
          <w:rFonts w:hint="eastAsia"/>
          <w:lang w:val="en-US" w:eastAsia="zh-CN"/>
        </w:rPr>
        <w:t>增加加分项</w:t>
      </w:r>
    </w:p>
  </w:comment>
  <w:comment w:id="8" w:author="hlj17" w:date="2023-06-05T14:56:24Z" w:initials="h">
    <w:p w14:paraId="75AB1865">
      <w:pPr>
        <w:pStyle w:val="8"/>
        <w:rPr>
          <w:rFonts w:hint="default" w:eastAsia="宋体"/>
          <w:lang w:val="en-US" w:eastAsia="zh-CN"/>
        </w:rPr>
      </w:pPr>
      <w:r>
        <w:rPr>
          <w:rFonts w:hint="eastAsia"/>
          <w:lang w:val="en-US" w:eastAsia="zh-CN"/>
        </w:rPr>
        <w:t>统一说法</w:t>
      </w:r>
    </w:p>
  </w:comment>
  <w:comment w:id="9" w:author="hlj17" w:date="2023-06-05T10:36:16Z" w:initials="h">
    <w:p w14:paraId="6F330DB5">
      <w:pPr>
        <w:pStyle w:val="8"/>
        <w:rPr>
          <w:rFonts w:hint="default" w:eastAsia="宋体"/>
          <w:lang w:val="en-US" w:eastAsia="zh-CN"/>
        </w:rPr>
      </w:pPr>
      <w:r>
        <w:rPr>
          <w:rFonts w:hint="eastAsia"/>
          <w:lang w:val="en-US" w:eastAsia="zh-CN"/>
        </w:rPr>
        <w:t>修改样式</w:t>
      </w:r>
    </w:p>
  </w:comment>
  <w:comment w:id="10" w:author="hlj17" w:date="2023-06-05T10:36:25Z" w:initials="h">
    <w:p w14:paraId="44B0625A">
      <w:pPr>
        <w:pStyle w:val="8"/>
        <w:rPr>
          <w:rFonts w:hint="default" w:eastAsia="宋体"/>
          <w:lang w:val="en-US" w:eastAsia="zh-CN"/>
        </w:rPr>
      </w:pPr>
      <w:r>
        <w:rPr>
          <w:rFonts w:hint="eastAsia"/>
          <w:lang w:val="en-US" w:eastAsia="zh-CN"/>
        </w:rPr>
        <w:t>修改样式</w:t>
      </w:r>
    </w:p>
  </w:comment>
  <w:comment w:id="11" w:author="hlj17" w:date="2023-06-05T10:37:18Z" w:initials="h">
    <w:p w14:paraId="143B2237">
      <w:pPr>
        <w:pStyle w:val="8"/>
        <w:rPr>
          <w:rFonts w:hint="default" w:eastAsia="宋体"/>
          <w:lang w:val="en-US" w:eastAsia="zh-CN"/>
        </w:rPr>
      </w:pPr>
      <w:r>
        <w:rPr>
          <w:rFonts w:hint="eastAsia"/>
          <w:lang w:val="en-US" w:eastAsia="zh-CN"/>
        </w:rPr>
        <w:t>删除原15条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0430987" w15:done="0"/>
  <w15:commentEx w15:paraId="7B631AF3" w15:done="0"/>
  <w15:commentEx w15:paraId="01F50107" w15:done="0"/>
  <w15:commentEx w15:paraId="73D7758B" w15:done="0"/>
  <w15:commentEx w15:paraId="05D7793D" w15:done="0"/>
  <w15:commentEx w15:paraId="09F37093" w15:done="0"/>
  <w15:commentEx w15:paraId="2E6C4F85" w15:done="0"/>
  <w15:commentEx w15:paraId="627A14D2" w15:done="0"/>
  <w15:commentEx w15:paraId="75AB1865" w15:done="0"/>
  <w15:commentEx w15:paraId="6F330DB5" w15:done="0"/>
  <w15:commentEx w15:paraId="44B0625A" w15:done="0"/>
  <w15:commentEx w15:paraId="143B223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经典粗黑简">
    <w:altName w:val="微软雅黑"/>
    <w:panose1 w:val="00000000000000000000"/>
    <w:charset w:val="86"/>
    <w:family w:val="modern"/>
    <w:pitch w:val="default"/>
    <w:sig w:usb0="00000000" w:usb1="00000000" w:usb2="0000001E"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instrText xml:space="preserve"> PAGE   \* MERGEFORMAT </w:instrText>
    </w:r>
    <w:r>
      <w:fldChar w:fldCharType="separate"/>
    </w:r>
    <w:r>
      <w:rPr>
        <w:lang w:val="zh-CN"/>
      </w:rPr>
      <w:t>79</w:t>
    </w:r>
    <w:r>
      <w:rPr>
        <w:lang w:val="zh-CN"/>
      </w:rPr>
      <w:fldChar w:fldCharType="end"/>
    </w:r>
  </w:p>
  <w:p>
    <w:pPr>
      <w:pStyle w:val="1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60AF0"/>
    <w:multiLevelType w:val="singleLevel"/>
    <w:tmpl w:val="05160AF0"/>
    <w:lvl w:ilvl="0" w:tentative="0">
      <w:start w:val="1"/>
      <w:numFmt w:val="decimal"/>
      <w:lvlText w:val="%1."/>
      <w:lvlJc w:val="left"/>
      <w:pPr>
        <w:tabs>
          <w:tab w:val="left" w:pos="312"/>
        </w:tabs>
      </w:pPr>
    </w:lvl>
  </w:abstractNum>
  <w:abstractNum w:abstractNumId="1">
    <w:nsid w:val="1E696D53"/>
    <w:multiLevelType w:val="singleLevel"/>
    <w:tmpl w:val="1E696D53"/>
    <w:lvl w:ilvl="0" w:tentative="0">
      <w:start w:val="3"/>
      <w:numFmt w:val="chineseCounting"/>
      <w:suff w:val="nothing"/>
      <w:lvlText w:val="%1、"/>
      <w:lvlJc w:val="left"/>
      <w:rPr>
        <w:rFonts w:hint="eastAsia"/>
      </w:rPr>
    </w:lvl>
  </w:abstractNum>
  <w:abstractNum w:abstractNumId="2">
    <w:nsid w:val="7943CE33"/>
    <w:multiLevelType w:val="singleLevel"/>
    <w:tmpl w:val="7943CE33"/>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lj17">
    <w15:presenceInfo w15:providerId="None" w15:userId="hlj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k5OTIwMTVkMWFlZWYwNDQ4N2Y0NDExZWU3MWNiMDcifQ=="/>
  </w:docVars>
  <w:rsids>
    <w:rsidRoot w:val="00172A27"/>
    <w:rsid w:val="00002A60"/>
    <w:rsid w:val="00004603"/>
    <w:rsid w:val="00007319"/>
    <w:rsid w:val="000106AE"/>
    <w:rsid w:val="00012703"/>
    <w:rsid w:val="0001485E"/>
    <w:rsid w:val="00021BFE"/>
    <w:rsid w:val="000250D6"/>
    <w:rsid w:val="00025ACC"/>
    <w:rsid w:val="00026171"/>
    <w:rsid w:val="00033881"/>
    <w:rsid w:val="000351AE"/>
    <w:rsid w:val="00043778"/>
    <w:rsid w:val="0005468C"/>
    <w:rsid w:val="00062AC6"/>
    <w:rsid w:val="00067035"/>
    <w:rsid w:val="00070121"/>
    <w:rsid w:val="0007139F"/>
    <w:rsid w:val="000778D0"/>
    <w:rsid w:val="00080C9B"/>
    <w:rsid w:val="0008132B"/>
    <w:rsid w:val="00081360"/>
    <w:rsid w:val="0008253E"/>
    <w:rsid w:val="0009436D"/>
    <w:rsid w:val="000943B0"/>
    <w:rsid w:val="00094A28"/>
    <w:rsid w:val="00094C66"/>
    <w:rsid w:val="000962E4"/>
    <w:rsid w:val="00097D40"/>
    <w:rsid w:val="000A287B"/>
    <w:rsid w:val="000A5C81"/>
    <w:rsid w:val="000A76B3"/>
    <w:rsid w:val="000B65E2"/>
    <w:rsid w:val="000C0018"/>
    <w:rsid w:val="000C1A9B"/>
    <w:rsid w:val="000C1C80"/>
    <w:rsid w:val="000C2AB5"/>
    <w:rsid w:val="000C4710"/>
    <w:rsid w:val="000D4336"/>
    <w:rsid w:val="000D49B4"/>
    <w:rsid w:val="000E08CB"/>
    <w:rsid w:val="000E5673"/>
    <w:rsid w:val="000E6375"/>
    <w:rsid w:val="000E6D00"/>
    <w:rsid w:val="000F2186"/>
    <w:rsid w:val="000F2A12"/>
    <w:rsid w:val="000F2ECC"/>
    <w:rsid w:val="000F55AD"/>
    <w:rsid w:val="001011FC"/>
    <w:rsid w:val="00102618"/>
    <w:rsid w:val="00105423"/>
    <w:rsid w:val="00106180"/>
    <w:rsid w:val="001119B6"/>
    <w:rsid w:val="00115124"/>
    <w:rsid w:val="00117F0F"/>
    <w:rsid w:val="00125158"/>
    <w:rsid w:val="00130FB8"/>
    <w:rsid w:val="0014098E"/>
    <w:rsid w:val="001530C6"/>
    <w:rsid w:val="00167741"/>
    <w:rsid w:val="00172A27"/>
    <w:rsid w:val="001735B4"/>
    <w:rsid w:val="001748A3"/>
    <w:rsid w:val="00182B11"/>
    <w:rsid w:val="00183B4A"/>
    <w:rsid w:val="00185F10"/>
    <w:rsid w:val="00187033"/>
    <w:rsid w:val="00193C1D"/>
    <w:rsid w:val="001978D3"/>
    <w:rsid w:val="001A093D"/>
    <w:rsid w:val="001A0CCF"/>
    <w:rsid w:val="001A2E05"/>
    <w:rsid w:val="001A374D"/>
    <w:rsid w:val="001A3DCB"/>
    <w:rsid w:val="001A4491"/>
    <w:rsid w:val="001A4684"/>
    <w:rsid w:val="001B0E6B"/>
    <w:rsid w:val="001B70EC"/>
    <w:rsid w:val="001B7FEF"/>
    <w:rsid w:val="001C30C7"/>
    <w:rsid w:val="001E1433"/>
    <w:rsid w:val="001F2208"/>
    <w:rsid w:val="001F4134"/>
    <w:rsid w:val="001F45EE"/>
    <w:rsid w:val="001F4850"/>
    <w:rsid w:val="00204A5C"/>
    <w:rsid w:val="00207A0B"/>
    <w:rsid w:val="00212A53"/>
    <w:rsid w:val="0021322F"/>
    <w:rsid w:val="00213B90"/>
    <w:rsid w:val="00215224"/>
    <w:rsid w:val="00215AF0"/>
    <w:rsid w:val="00221B9D"/>
    <w:rsid w:val="002229E2"/>
    <w:rsid w:val="0022434B"/>
    <w:rsid w:val="0023423F"/>
    <w:rsid w:val="00237B0E"/>
    <w:rsid w:val="002430C2"/>
    <w:rsid w:val="00251A49"/>
    <w:rsid w:val="0025460A"/>
    <w:rsid w:val="002558A4"/>
    <w:rsid w:val="00255D0D"/>
    <w:rsid w:val="00260C77"/>
    <w:rsid w:val="00261352"/>
    <w:rsid w:val="00263F0B"/>
    <w:rsid w:val="00264EB1"/>
    <w:rsid w:val="00276C71"/>
    <w:rsid w:val="00281526"/>
    <w:rsid w:val="00284601"/>
    <w:rsid w:val="00285406"/>
    <w:rsid w:val="00294D9A"/>
    <w:rsid w:val="002A552C"/>
    <w:rsid w:val="002A65ED"/>
    <w:rsid w:val="002C0C29"/>
    <w:rsid w:val="002C7B9B"/>
    <w:rsid w:val="002D11A0"/>
    <w:rsid w:val="002D2B90"/>
    <w:rsid w:val="002D6F32"/>
    <w:rsid w:val="002E1DAC"/>
    <w:rsid w:val="002E2461"/>
    <w:rsid w:val="002E6D05"/>
    <w:rsid w:val="002F3394"/>
    <w:rsid w:val="002F72A0"/>
    <w:rsid w:val="00302CFF"/>
    <w:rsid w:val="00311324"/>
    <w:rsid w:val="003122C4"/>
    <w:rsid w:val="0032031D"/>
    <w:rsid w:val="00321647"/>
    <w:rsid w:val="00321989"/>
    <w:rsid w:val="003243EC"/>
    <w:rsid w:val="003247CD"/>
    <w:rsid w:val="003362AD"/>
    <w:rsid w:val="00342688"/>
    <w:rsid w:val="0034440E"/>
    <w:rsid w:val="00347899"/>
    <w:rsid w:val="003518D6"/>
    <w:rsid w:val="00354B7A"/>
    <w:rsid w:val="00363966"/>
    <w:rsid w:val="003741B0"/>
    <w:rsid w:val="0038240C"/>
    <w:rsid w:val="0038359A"/>
    <w:rsid w:val="00387996"/>
    <w:rsid w:val="00391F03"/>
    <w:rsid w:val="003A1857"/>
    <w:rsid w:val="003A2368"/>
    <w:rsid w:val="003A27AF"/>
    <w:rsid w:val="003A593E"/>
    <w:rsid w:val="003A6775"/>
    <w:rsid w:val="003C0D7D"/>
    <w:rsid w:val="003C4858"/>
    <w:rsid w:val="003C5BB3"/>
    <w:rsid w:val="003D1170"/>
    <w:rsid w:val="003D1B8E"/>
    <w:rsid w:val="003D2393"/>
    <w:rsid w:val="003D2D72"/>
    <w:rsid w:val="003D36EE"/>
    <w:rsid w:val="003D6E0A"/>
    <w:rsid w:val="003F3518"/>
    <w:rsid w:val="003F504F"/>
    <w:rsid w:val="003F5101"/>
    <w:rsid w:val="003F5B69"/>
    <w:rsid w:val="003F639B"/>
    <w:rsid w:val="00404AF6"/>
    <w:rsid w:val="004105EF"/>
    <w:rsid w:val="00415A1A"/>
    <w:rsid w:val="0042326A"/>
    <w:rsid w:val="00423F96"/>
    <w:rsid w:val="00430878"/>
    <w:rsid w:val="00431F4F"/>
    <w:rsid w:val="0043351E"/>
    <w:rsid w:val="00433676"/>
    <w:rsid w:val="0043613F"/>
    <w:rsid w:val="00436504"/>
    <w:rsid w:val="00437E20"/>
    <w:rsid w:val="004405C7"/>
    <w:rsid w:val="00441D39"/>
    <w:rsid w:val="00442AF8"/>
    <w:rsid w:val="0044514A"/>
    <w:rsid w:val="00447E59"/>
    <w:rsid w:val="00457DC2"/>
    <w:rsid w:val="004733D3"/>
    <w:rsid w:val="00487315"/>
    <w:rsid w:val="00494624"/>
    <w:rsid w:val="00495001"/>
    <w:rsid w:val="004A112E"/>
    <w:rsid w:val="004A1631"/>
    <w:rsid w:val="004A76F2"/>
    <w:rsid w:val="004B51E3"/>
    <w:rsid w:val="004B58BC"/>
    <w:rsid w:val="004B6ED7"/>
    <w:rsid w:val="004D1209"/>
    <w:rsid w:val="004D4247"/>
    <w:rsid w:val="004D67CC"/>
    <w:rsid w:val="004D7237"/>
    <w:rsid w:val="004D794D"/>
    <w:rsid w:val="004D7FCB"/>
    <w:rsid w:val="004E0C05"/>
    <w:rsid w:val="004E33D2"/>
    <w:rsid w:val="004E3473"/>
    <w:rsid w:val="004F1425"/>
    <w:rsid w:val="004F3309"/>
    <w:rsid w:val="00500A8F"/>
    <w:rsid w:val="005034E3"/>
    <w:rsid w:val="0050739A"/>
    <w:rsid w:val="005100DC"/>
    <w:rsid w:val="00511660"/>
    <w:rsid w:val="00512A0D"/>
    <w:rsid w:val="00517CCE"/>
    <w:rsid w:val="005229A0"/>
    <w:rsid w:val="00522D50"/>
    <w:rsid w:val="00527D92"/>
    <w:rsid w:val="00531BAF"/>
    <w:rsid w:val="00537781"/>
    <w:rsid w:val="005409DB"/>
    <w:rsid w:val="00542C62"/>
    <w:rsid w:val="00543F5F"/>
    <w:rsid w:val="00545698"/>
    <w:rsid w:val="00546149"/>
    <w:rsid w:val="00550148"/>
    <w:rsid w:val="00555089"/>
    <w:rsid w:val="005565F1"/>
    <w:rsid w:val="00562259"/>
    <w:rsid w:val="005655BD"/>
    <w:rsid w:val="00566ADA"/>
    <w:rsid w:val="00571F99"/>
    <w:rsid w:val="00573B46"/>
    <w:rsid w:val="00573C8F"/>
    <w:rsid w:val="00576C5E"/>
    <w:rsid w:val="00577C17"/>
    <w:rsid w:val="00580957"/>
    <w:rsid w:val="005824FB"/>
    <w:rsid w:val="005826AA"/>
    <w:rsid w:val="00586955"/>
    <w:rsid w:val="00592226"/>
    <w:rsid w:val="00594240"/>
    <w:rsid w:val="005955BA"/>
    <w:rsid w:val="005A0B59"/>
    <w:rsid w:val="005A0E9F"/>
    <w:rsid w:val="005A175C"/>
    <w:rsid w:val="005A245A"/>
    <w:rsid w:val="005A2C7B"/>
    <w:rsid w:val="005A328C"/>
    <w:rsid w:val="005B0F9A"/>
    <w:rsid w:val="005B1A42"/>
    <w:rsid w:val="005B4DB1"/>
    <w:rsid w:val="005C162E"/>
    <w:rsid w:val="005C417A"/>
    <w:rsid w:val="005D22FC"/>
    <w:rsid w:val="005D3D41"/>
    <w:rsid w:val="005D736F"/>
    <w:rsid w:val="005E4F70"/>
    <w:rsid w:val="005E7CE8"/>
    <w:rsid w:val="005F162E"/>
    <w:rsid w:val="005F16C3"/>
    <w:rsid w:val="005F328B"/>
    <w:rsid w:val="005F74F3"/>
    <w:rsid w:val="00605A28"/>
    <w:rsid w:val="006109EF"/>
    <w:rsid w:val="00614E98"/>
    <w:rsid w:val="0062295C"/>
    <w:rsid w:val="00623AD2"/>
    <w:rsid w:val="00632B51"/>
    <w:rsid w:val="00633021"/>
    <w:rsid w:val="00636962"/>
    <w:rsid w:val="006376A9"/>
    <w:rsid w:val="006438E7"/>
    <w:rsid w:val="00644C71"/>
    <w:rsid w:val="006462FA"/>
    <w:rsid w:val="00657340"/>
    <w:rsid w:val="00660EBB"/>
    <w:rsid w:val="00663119"/>
    <w:rsid w:val="00663CC5"/>
    <w:rsid w:val="00670660"/>
    <w:rsid w:val="00675445"/>
    <w:rsid w:val="006806AB"/>
    <w:rsid w:val="00684D69"/>
    <w:rsid w:val="00686AF3"/>
    <w:rsid w:val="006928F3"/>
    <w:rsid w:val="006952F5"/>
    <w:rsid w:val="006A0150"/>
    <w:rsid w:val="006A350C"/>
    <w:rsid w:val="006A5596"/>
    <w:rsid w:val="006A6269"/>
    <w:rsid w:val="006A6A9F"/>
    <w:rsid w:val="006B4620"/>
    <w:rsid w:val="006C1B42"/>
    <w:rsid w:val="006C56C9"/>
    <w:rsid w:val="006D144F"/>
    <w:rsid w:val="006D567B"/>
    <w:rsid w:val="006D79F6"/>
    <w:rsid w:val="006E0B76"/>
    <w:rsid w:val="006E1665"/>
    <w:rsid w:val="006E1CF0"/>
    <w:rsid w:val="006E2EB3"/>
    <w:rsid w:val="006E3EAB"/>
    <w:rsid w:val="006E521B"/>
    <w:rsid w:val="006F30B4"/>
    <w:rsid w:val="006F46C3"/>
    <w:rsid w:val="006F6474"/>
    <w:rsid w:val="006F6E12"/>
    <w:rsid w:val="00701A84"/>
    <w:rsid w:val="00705859"/>
    <w:rsid w:val="00706041"/>
    <w:rsid w:val="00710F59"/>
    <w:rsid w:val="007123AF"/>
    <w:rsid w:val="00712A96"/>
    <w:rsid w:val="00712FF3"/>
    <w:rsid w:val="00721056"/>
    <w:rsid w:val="00725C94"/>
    <w:rsid w:val="00726A6C"/>
    <w:rsid w:val="00726B23"/>
    <w:rsid w:val="00726DB7"/>
    <w:rsid w:val="00727E29"/>
    <w:rsid w:val="00733083"/>
    <w:rsid w:val="007404E5"/>
    <w:rsid w:val="00742B21"/>
    <w:rsid w:val="00744517"/>
    <w:rsid w:val="007445A6"/>
    <w:rsid w:val="00750137"/>
    <w:rsid w:val="0075115C"/>
    <w:rsid w:val="00755157"/>
    <w:rsid w:val="00766147"/>
    <w:rsid w:val="00766DD4"/>
    <w:rsid w:val="00770518"/>
    <w:rsid w:val="007724D2"/>
    <w:rsid w:val="00772E30"/>
    <w:rsid w:val="007769FC"/>
    <w:rsid w:val="00777B21"/>
    <w:rsid w:val="00780470"/>
    <w:rsid w:val="007861D1"/>
    <w:rsid w:val="00790A94"/>
    <w:rsid w:val="007911B2"/>
    <w:rsid w:val="00797ACE"/>
    <w:rsid w:val="007A08F7"/>
    <w:rsid w:val="007A1E5B"/>
    <w:rsid w:val="007A36C9"/>
    <w:rsid w:val="007A5188"/>
    <w:rsid w:val="007A6512"/>
    <w:rsid w:val="007A67FD"/>
    <w:rsid w:val="007B3D71"/>
    <w:rsid w:val="007B5213"/>
    <w:rsid w:val="007B7DDF"/>
    <w:rsid w:val="007C292F"/>
    <w:rsid w:val="007D07A2"/>
    <w:rsid w:val="007D16DC"/>
    <w:rsid w:val="007D4C26"/>
    <w:rsid w:val="007D5CBB"/>
    <w:rsid w:val="007D6572"/>
    <w:rsid w:val="007D7740"/>
    <w:rsid w:val="007E0563"/>
    <w:rsid w:val="007E6590"/>
    <w:rsid w:val="007E78FD"/>
    <w:rsid w:val="007F0FAC"/>
    <w:rsid w:val="007F33A5"/>
    <w:rsid w:val="007F55F9"/>
    <w:rsid w:val="007F6A96"/>
    <w:rsid w:val="008016DA"/>
    <w:rsid w:val="00803D1B"/>
    <w:rsid w:val="00804854"/>
    <w:rsid w:val="00805D01"/>
    <w:rsid w:val="00814ACE"/>
    <w:rsid w:val="0081682E"/>
    <w:rsid w:val="00822B05"/>
    <w:rsid w:val="00823971"/>
    <w:rsid w:val="00826534"/>
    <w:rsid w:val="00826C28"/>
    <w:rsid w:val="00833E5B"/>
    <w:rsid w:val="00842D0A"/>
    <w:rsid w:val="00842DD8"/>
    <w:rsid w:val="0084602F"/>
    <w:rsid w:val="00847755"/>
    <w:rsid w:val="00851FB3"/>
    <w:rsid w:val="0085267C"/>
    <w:rsid w:val="008567AE"/>
    <w:rsid w:val="008602E0"/>
    <w:rsid w:val="008625DD"/>
    <w:rsid w:val="008631FE"/>
    <w:rsid w:val="00865A18"/>
    <w:rsid w:val="00877B50"/>
    <w:rsid w:val="00880C4E"/>
    <w:rsid w:val="00884568"/>
    <w:rsid w:val="00886D39"/>
    <w:rsid w:val="008936E5"/>
    <w:rsid w:val="008A0C4A"/>
    <w:rsid w:val="008A3781"/>
    <w:rsid w:val="008A4F8A"/>
    <w:rsid w:val="008A5485"/>
    <w:rsid w:val="008A6265"/>
    <w:rsid w:val="008B4958"/>
    <w:rsid w:val="008C1519"/>
    <w:rsid w:val="008C4D93"/>
    <w:rsid w:val="008D0EA5"/>
    <w:rsid w:val="008D1879"/>
    <w:rsid w:val="008D2B4F"/>
    <w:rsid w:val="008F2DB6"/>
    <w:rsid w:val="008F78BF"/>
    <w:rsid w:val="0090152F"/>
    <w:rsid w:val="00905AE6"/>
    <w:rsid w:val="009102B1"/>
    <w:rsid w:val="00913DA9"/>
    <w:rsid w:val="00915BD0"/>
    <w:rsid w:val="009165B6"/>
    <w:rsid w:val="0091764F"/>
    <w:rsid w:val="00922D1D"/>
    <w:rsid w:val="0092577B"/>
    <w:rsid w:val="00926831"/>
    <w:rsid w:val="00937163"/>
    <w:rsid w:val="00942FF5"/>
    <w:rsid w:val="00943B39"/>
    <w:rsid w:val="00943F58"/>
    <w:rsid w:val="0094443B"/>
    <w:rsid w:val="0094784E"/>
    <w:rsid w:val="0094793B"/>
    <w:rsid w:val="00956336"/>
    <w:rsid w:val="0096197F"/>
    <w:rsid w:val="009635CE"/>
    <w:rsid w:val="00964882"/>
    <w:rsid w:val="009678EF"/>
    <w:rsid w:val="00972737"/>
    <w:rsid w:val="00972D10"/>
    <w:rsid w:val="00976894"/>
    <w:rsid w:val="0098095B"/>
    <w:rsid w:val="00981293"/>
    <w:rsid w:val="009816BB"/>
    <w:rsid w:val="00984168"/>
    <w:rsid w:val="0098473F"/>
    <w:rsid w:val="0098548A"/>
    <w:rsid w:val="00987946"/>
    <w:rsid w:val="009914DB"/>
    <w:rsid w:val="00993DD3"/>
    <w:rsid w:val="0099765D"/>
    <w:rsid w:val="009A21F7"/>
    <w:rsid w:val="009A4E18"/>
    <w:rsid w:val="009A6828"/>
    <w:rsid w:val="009B115E"/>
    <w:rsid w:val="009B54E6"/>
    <w:rsid w:val="009C42F0"/>
    <w:rsid w:val="009C5D2B"/>
    <w:rsid w:val="009D0A6C"/>
    <w:rsid w:val="009E280D"/>
    <w:rsid w:val="009E77CE"/>
    <w:rsid w:val="009F0479"/>
    <w:rsid w:val="009F1AC6"/>
    <w:rsid w:val="009F3D52"/>
    <w:rsid w:val="009F42B3"/>
    <w:rsid w:val="009F46DE"/>
    <w:rsid w:val="009F7053"/>
    <w:rsid w:val="00A00218"/>
    <w:rsid w:val="00A01041"/>
    <w:rsid w:val="00A013E6"/>
    <w:rsid w:val="00A059CF"/>
    <w:rsid w:val="00A05EDA"/>
    <w:rsid w:val="00A160BA"/>
    <w:rsid w:val="00A161A9"/>
    <w:rsid w:val="00A20C87"/>
    <w:rsid w:val="00A214E6"/>
    <w:rsid w:val="00A236AA"/>
    <w:rsid w:val="00A239C4"/>
    <w:rsid w:val="00A24AE5"/>
    <w:rsid w:val="00A27544"/>
    <w:rsid w:val="00A27AD2"/>
    <w:rsid w:val="00A31FBE"/>
    <w:rsid w:val="00A33FE5"/>
    <w:rsid w:val="00A443E0"/>
    <w:rsid w:val="00A51D94"/>
    <w:rsid w:val="00A549E2"/>
    <w:rsid w:val="00A63667"/>
    <w:rsid w:val="00A64CFB"/>
    <w:rsid w:val="00A660F9"/>
    <w:rsid w:val="00A663FC"/>
    <w:rsid w:val="00A7108D"/>
    <w:rsid w:val="00A71821"/>
    <w:rsid w:val="00A72400"/>
    <w:rsid w:val="00A75AAB"/>
    <w:rsid w:val="00A77C2A"/>
    <w:rsid w:val="00A8366F"/>
    <w:rsid w:val="00A86BC1"/>
    <w:rsid w:val="00A909F4"/>
    <w:rsid w:val="00A90FFC"/>
    <w:rsid w:val="00A93CEE"/>
    <w:rsid w:val="00A95DBF"/>
    <w:rsid w:val="00A97ECB"/>
    <w:rsid w:val="00AA77E6"/>
    <w:rsid w:val="00AB22FD"/>
    <w:rsid w:val="00AB249C"/>
    <w:rsid w:val="00AB3141"/>
    <w:rsid w:val="00AB5EF7"/>
    <w:rsid w:val="00AB609D"/>
    <w:rsid w:val="00AB66B8"/>
    <w:rsid w:val="00AC0D1C"/>
    <w:rsid w:val="00AC2268"/>
    <w:rsid w:val="00AD4BF6"/>
    <w:rsid w:val="00AD75D8"/>
    <w:rsid w:val="00AD7CAC"/>
    <w:rsid w:val="00AD7DE4"/>
    <w:rsid w:val="00AE2EAF"/>
    <w:rsid w:val="00AE3D01"/>
    <w:rsid w:val="00AE4FC4"/>
    <w:rsid w:val="00AE5260"/>
    <w:rsid w:val="00AE5CF7"/>
    <w:rsid w:val="00AE67B6"/>
    <w:rsid w:val="00AF08A4"/>
    <w:rsid w:val="00AF3442"/>
    <w:rsid w:val="00AF49A0"/>
    <w:rsid w:val="00AF5D13"/>
    <w:rsid w:val="00AF7CFA"/>
    <w:rsid w:val="00B05EB7"/>
    <w:rsid w:val="00B0641E"/>
    <w:rsid w:val="00B065F5"/>
    <w:rsid w:val="00B17226"/>
    <w:rsid w:val="00B1739F"/>
    <w:rsid w:val="00B17C7E"/>
    <w:rsid w:val="00B20435"/>
    <w:rsid w:val="00B2193F"/>
    <w:rsid w:val="00B34169"/>
    <w:rsid w:val="00B37C5F"/>
    <w:rsid w:val="00B40DB4"/>
    <w:rsid w:val="00B43529"/>
    <w:rsid w:val="00B45828"/>
    <w:rsid w:val="00B46489"/>
    <w:rsid w:val="00B51807"/>
    <w:rsid w:val="00B51D11"/>
    <w:rsid w:val="00B52304"/>
    <w:rsid w:val="00B568D1"/>
    <w:rsid w:val="00B56F9E"/>
    <w:rsid w:val="00B6040F"/>
    <w:rsid w:val="00B60C4A"/>
    <w:rsid w:val="00B60D18"/>
    <w:rsid w:val="00B70AB4"/>
    <w:rsid w:val="00B70E4F"/>
    <w:rsid w:val="00B76B4B"/>
    <w:rsid w:val="00B82CF7"/>
    <w:rsid w:val="00B82E6C"/>
    <w:rsid w:val="00B83DB7"/>
    <w:rsid w:val="00B83E5B"/>
    <w:rsid w:val="00B840FF"/>
    <w:rsid w:val="00B850F5"/>
    <w:rsid w:val="00B86D09"/>
    <w:rsid w:val="00B923D8"/>
    <w:rsid w:val="00B924CB"/>
    <w:rsid w:val="00BA1742"/>
    <w:rsid w:val="00BA6A1E"/>
    <w:rsid w:val="00BA73D9"/>
    <w:rsid w:val="00BA779B"/>
    <w:rsid w:val="00BA7B36"/>
    <w:rsid w:val="00BB14E3"/>
    <w:rsid w:val="00BB6955"/>
    <w:rsid w:val="00BC31D7"/>
    <w:rsid w:val="00BC62D1"/>
    <w:rsid w:val="00BC7BDB"/>
    <w:rsid w:val="00BD0888"/>
    <w:rsid w:val="00BD2382"/>
    <w:rsid w:val="00BD38A7"/>
    <w:rsid w:val="00BD4CB1"/>
    <w:rsid w:val="00BD5685"/>
    <w:rsid w:val="00BD58EC"/>
    <w:rsid w:val="00BD5F19"/>
    <w:rsid w:val="00BD6C5E"/>
    <w:rsid w:val="00BD7122"/>
    <w:rsid w:val="00BE1F7A"/>
    <w:rsid w:val="00BF1F32"/>
    <w:rsid w:val="00BF7CA8"/>
    <w:rsid w:val="00C000E6"/>
    <w:rsid w:val="00C10A53"/>
    <w:rsid w:val="00C11B1A"/>
    <w:rsid w:val="00C13744"/>
    <w:rsid w:val="00C1558A"/>
    <w:rsid w:val="00C16E65"/>
    <w:rsid w:val="00C26A17"/>
    <w:rsid w:val="00C409F2"/>
    <w:rsid w:val="00C40EFF"/>
    <w:rsid w:val="00C426BD"/>
    <w:rsid w:val="00C428F5"/>
    <w:rsid w:val="00C452D2"/>
    <w:rsid w:val="00C473A5"/>
    <w:rsid w:val="00C50F27"/>
    <w:rsid w:val="00C561A1"/>
    <w:rsid w:val="00C57185"/>
    <w:rsid w:val="00C60374"/>
    <w:rsid w:val="00C65F10"/>
    <w:rsid w:val="00C737E3"/>
    <w:rsid w:val="00C74CE6"/>
    <w:rsid w:val="00C750F1"/>
    <w:rsid w:val="00C75D0D"/>
    <w:rsid w:val="00C77D07"/>
    <w:rsid w:val="00C8459E"/>
    <w:rsid w:val="00C9312C"/>
    <w:rsid w:val="00C97B27"/>
    <w:rsid w:val="00CA54D2"/>
    <w:rsid w:val="00CB10FE"/>
    <w:rsid w:val="00CB1F5E"/>
    <w:rsid w:val="00CB2000"/>
    <w:rsid w:val="00CB621C"/>
    <w:rsid w:val="00CC02F2"/>
    <w:rsid w:val="00CC247B"/>
    <w:rsid w:val="00CC69FA"/>
    <w:rsid w:val="00CC6B34"/>
    <w:rsid w:val="00CD09B4"/>
    <w:rsid w:val="00CD6EE8"/>
    <w:rsid w:val="00CD737F"/>
    <w:rsid w:val="00CD7773"/>
    <w:rsid w:val="00CE4AF8"/>
    <w:rsid w:val="00CE691B"/>
    <w:rsid w:val="00CE78B9"/>
    <w:rsid w:val="00CF48A1"/>
    <w:rsid w:val="00CF5CD9"/>
    <w:rsid w:val="00CF67F1"/>
    <w:rsid w:val="00D01E73"/>
    <w:rsid w:val="00D0314D"/>
    <w:rsid w:val="00D0344C"/>
    <w:rsid w:val="00D0532F"/>
    <w:rsid w:val="00D05F0E"/>
    <w:rsid w:val="00D10DA3"/>
    <w:rsid w:val="00D13DA8"/>
    <w:rsid w:val="00D2665C"/>
    <w:rsid w:val="00D31A22"/>
    <w:rsid w:val="00D32CD6"/>
    <w:rsid w:val="00D355AF"/>
    <w:rsid w:val="00D4185E"/>
    <w:rsid w:val="00D424F4"/>
    <w:rsid w:val="00D4426F"/>
    <w:rsid w:val="00D47B11"/>
    <w:rsid w:val="00D61E00"/>
    <w:rsid w:val="00D70B9C"/>
    <w:rsid w:val="00D71AF2"/>
    <w:rsid w:val="00D73671"/>
    <w:rsid w:val="00D74914"/>
    <w:rsid w:val="00D7638D"/>
    <w:rsid w:val="00D765FC"/>
    <w:rsid w:val="00D8264B"/>
    <w:rsid w:val="00D8313F"/>
    <w:rsid w:val="00D9028D"/>
    <w:rsid w:val="00D90E2B"/>
    <w:rsid w:val="00D91F21"/>
    <w:rsid w:val="00D935CD"/>
    <w:rsid w:val="00D94273"/>
    <w:rsid w:val="00D944A0"/>
    <w:rsid w:val="00D946E9"/>
    <w:rsid w:val="00DA0916"/>
    <w:rsid w:val="00DA7EB6"/>
    <w:rsid w:val="00DB17DE"/>
    <w:rsid w:val="00DB1F46"/>
    <w:rsid w:val="00DB2502"/>
    <w:rsid w:val="00DB3854"/>
    <w:rsid w:val="00DB45CC"/>
    <w:rsid w:val="00DB7E41"/>
    <w:rsid w:val="00DC1BF6"/>
    <w:rsid w:val="00DC3A4D"/>
    <w:rsid w:val="00DC4FA6"/>
    <w:rsid w:val="00DC500F"/>
    <w:rsid w:val="00DC76AE"/>
    <w:rsid w:val="00DD230C"/>
    <w:rsid w:val="00DD2358"/>
    <w:rsid w:val="00DE0C34"/>
    <w:rsid w:val="00DE2DF3"/>
    <w:rsid w:val="00DE3B31"/>
    <w:rsid w:val="00DE7014"/>
    <w:rsid w:val="00DF58D7"/>
    <w:rsid w:val="00E00B48"/>
    <w:rsid w:val="00E030EE"/>
    <w:rsid w:val="00E108C3"/>
    <w:rsid w:val="00E11F03"/>
    <w:rsid w:val="00E120B9"/>
    <w:rsid w:val="00E13758"/>
    <w:rsid w:val="00E148F3"/>
    <w:rsid w:val="00E151DA"/>
    <w:rsid w:val="00E15382"/>
    <w:rsid w:val="00E20944"/>
    <w:rsid w:val="00E238A2"/>
    <w:rsid w:val="00E27256"/>
    <w:rsid w:val="00E3243B"/>
    <w:rsid w:val="00E335D8"/>
    <w:rsid w:val="00E33707"/>
    <w:rsid w:val="00E34005"/>
    <w:rsid w:val="00E40E23"/>
    <w:rsid w:val="00E413AB"/>
    <w:rsid w:val="00E43274"/>
    <w:rsid w:val="00E4665E"/>
    <w:rsid w:val="00E53F38"/>
    <w:rsid w:val="00E64E71"/>
    <w:rsid w:val="00E73E35"/>
    <w:rsid w:val="00E807BA"/>
    <w:rsid w:val="00E80F7E"/>
    <w:rsid w:val="00E8164C"/>
    <w:rsid w:val="00E82B5F"/>
    <w:rsid w:val="00E90D94"/>
    <w:rsid w:val="00E95194"/>
    <w:rsid w:val="00E96F65"/>
    <w:rsid w:val="00EA5BBB"/>
    <w:rsid w:val="00EB10A7"/>
    <w:rsid w:val="00EB2328"/>
    <w:rsid w:val="00EB48A2"/>
    <w:rsid w:val="00EB6DE7"/>
    <w:rsid w:val="00EB71F5"/>
    <w:rsid w:val="00EC4440"/>
    <w:rsid w:val="00EC6890"/>
    <w:rsid w:val="00ED694A"/>
    <w:rsid w:val="00ED76D9"/>
    <w:rsid w:val="00F0031B"/>
    <w:rsid w:val="00F060A4"/>
    <w:rsid w:val="00F06124"/>
    <w:rsid w:val="00F07523"/>
    <w:rsid w:val="00F10F7C"/>
    <w:rsid w:val="00F15D39"/>
    <w:rsid w:val="00F16B10"/>
    <w:rsid w:val="00F231AB"/>
    <w:rsid w:val="00F24BB1"/>
    <w:rsid w:val="00F304EE"/>
    <w:rsid w:val="00F31887"/>
    <w:rsid w:val="00F35671"/>
    <w:rsid w:val="00F37F12"/>
    <w:rsid w:val="00F400C4"/>
    <w:rsid w:val="00F41E90"/>
    <w:rsid w:val="00F4710F"/>
    <w:rsid w:val="00F53A81"/>
    <w:rsid w:val="00F56016"/>
    <w:rsid w:val="00F57D8D"/>
    <w:rsid w:val="00F60E88"/>
    <w:rsid w:val="00F73B29"/>
    <w:rsid w:val="00F757F6"/>
    <w:rsid w:val="00F823B7"/>
    <w:rsid w:val="00F82B69"/>
    <w:rsid w:val="00F84961"/>
    <w:rsid w:val="00F86321"/>
    <w:rsid w:val="00F91188"/>
    <w:rsid w:val="00F9546C"/>
    <w:rsid w:val="00F96CF9"/>
    <w:rsid w:val="00F97B72"/>
    <w:rsid w:val="00FA10A8"/>
    <w:rsid w:val="00FA1427"/>
    <w:rsid w:val="00FA45BA"/>
    <w:rsid w:val="00FA5296"/>
    <w:rsid w:val="00FB1F93"/>
    <w:rsid w:val="00FB48DF"/>
    <w:rsid w:val="00FB5972"/>
    <w:rsid w:val="00FB632F"/>
    <w:rsid w:val="00FC3BAF"/>
    <w:rsid w:val="00FC5824"/>
    <w:rsid w:val="00FC5D22"/>
    <w:rsid w:val="00FD01BA"/>
    <w:rsid w:val="00FD0CA5"/>
    <w:rsid w:val="00FD1B32"/>
    <w:rsid w:val="00FD4012"/>
    <w:rsid w:val="00FE20F3"/>
    <w:rsid w:val="00FE4D45"/>
    <w:rsid w:val="00FE7070"/>
    <w:rsid w:val="00FF460F"/>
    <w:rsid w:val="00FF4F25"/>
    <w:rsid w:val="00FF6B57"/>
    <w:rsid w:val="018A73B0"/>
    <w:rsid w:val="01D35FC9"/>
    <w:rsid w:val="0379139B"/>
    <w:rsid w:val="03A367D0"/>
    <w:rsid w:val="067F27C6"/>
    <w:rsid w:val="09EA39F6"/>
    <w:rsid w:val="0EFD148A"/>
    <w:rsid w:val="0F647287"/>
    <w:rsid w:val="10D040B5"/>
    <w:rsid w:val="12174F59"/>
    <w:rsid w:val="123E24E6"/>
    <w:rsid w:val="125D0444"/>
    <w:rsid w:val="12647080"/>
    <w:rsid w:val="12D469A6"/>
    <w:rsid w:val="12DC2193"/>
    <w:rsid w:val="143420A3"/>
    <w:rsid w:val="16646293"/>
    <w:rsid w:val="171B3F42"/>
    <w:rsid w:val="188F34C0"/>
    <w:rsid w:val="18C40531"/>
    <w:rsid w:val="196E0440"/>
    <w:rsid w:val="199D3E9B"/>
    <w:rsid w:val="19B52391"/>
    <w:rsid w:val="1A131B75"/>
    <w:rsid w:val="1C901B90"/>
    <w:rsid w:val="1C964CCC"/>
    <w:rsid w:val="1CA67605"/>
    <w:rsid w:val="1EBF675C"/>
    <w:rsid w:val="1F0C74C8"/>
    <w:rsid w:val="1FC830F8"/>
    <w:rsid w:val="1FE03F10"/>
    <w:rsid w:val="222D2E31"/>
    <w:rsid w:val="22934188"/>
    <w:rsid w:val="22EE5862"/>
    <w:rsid w:val="25496E57"/>
    <w:rsid w:val="269C4EE7"/>
    <w:rsid w:val="276B56D3"/>
    <w:rsid w:val="27DA0BF6"/>
    <w:rsid w:val="28D23530"/>
    <w:rsid w:val="29615A57"/>
    <w:rsid w:val="2A135BAE"/>
    <w:rsid w:val="2A6049EC"/>
    <w:rsid w:val="2B75442B"/>
    <w:rsid w:val="2BEE242F"/>
    <w:rsid w:val="2C9E30CA"/>
    <w:rsid w:val="2CFE5EAE"/>
    <w:rsid w:val="2F54279A"/>
    <w:rsid w:val="31472444"/>
    <w:rsid w:val="33CE2500"/>
    <w:rsid w:val="342033A2"/>
    <w:rsid w:val="34F4395C"/>
    <w:rsid w:val="353B41AE"/>
    <w:rsid w:val="35DE500B"/>
    <w:rsid w:val="36414C8A"/>
    <w:rsid w:val="37CB09F5"/>
    <w:rsid w:val="38C52157"/>
    <w:rsid w:val="38FC4980"/>
    <w:rsid w:val="3A0B6C43"/>
    <w:rsid w:val="3ABE3914"/>
    <w:rsid w:val="3BC875A5"/>
    <w:rsid w:val="3C797AF3"/>
    <w:rsid w:val="3CAB1F04"/>
    <w:rsid w:val="3CAD7C6B"/>
    <w:rsid w:val="3D7109D2"/>
    <w:rsid w:val="3EFC5A2A"/>
    <w:rsid w:val="3F055FB6"/>
    <w:rsid w:val="3F3B7EA7"/>
    <w:rsid w:val="4004626D"/>
    <w:rsid w:val="40464190"/>
    <w:rsid w:val="405477FF"/>
    <w:rsid w:val="41E73ED5"/>
    <w:rsid w:val="420D711B"/>
    <w:rsid w:val="432D5ADB"/>
    <w:rsid w:val="4360716E"/>
    <w:rsid w:val="440054AD"/>
    <w:rsid w:val="4530540F"/>
    <w:rsid w:val="45B47DEE"/>
    <w:rsid w:val="45CA67D0"/>
    <w:rsid w:val="463053C5"/>
    <w:rsid w:val="468C2B19"/>
    <w:rsid w:val="46E963F9"/>
    <w:rsid w:val="47AD4C9A"/>
    <w:rsid w:val="47BF45D4"/>
    <w:rsid w:val="47F53C79"/>
    <w:rsid w:val="484E2B86"/>
    <w:rsid w:val="486C1132"/>
    <w:rsid w:val="48807943"/>
    <w:rsid w:val="48B408CC"/>
    <w:rsid w:val="4AD36F68"/>
    <w:rsid w:val="4B5D2CD5"/>
    <w:rsid w:val="4C6E7DAD"/>
    <w:rsid w:val="4D9A5B1B"/>
    <w:rsid w:val="4E070B9A"/>
    <w:rsid w:val="4E50219D"/>
    <w:rsid w:val="4F135B85"/>
    <w:rsid w:val="4F5902E8"/>
    <w:rsid w:val="4FD150FA"/>
    <w:rsid w:val="503A35E5"/>
    <w:rsid w:val="50847EDE"/>
    <w:rsid w:val="513060E7"/>
    <w:rsid w:val="51CC64BF"/>
    <w:rsid w:val="52231FE4"/>
    <w:rsid w:val="52BE22AC"/>
    <w:rsid w:val="52E85DA3"/>
    <w:rsid w:val="53285A20"/>
    <w:rsid w:val="55814216"/>
    <w:rsid w:val="57B40121"/>
    <w:rsid w:val="599231EE"/>
    <w:rsid w:val="59C208D3"/>
    <w:rsid w:val="5A907E55"/>
    <w:rsid w:val="5AB16789"/>
    <w:rsid w:val="5AE900E2"/>
    <w:rsid w:val="5B5C4D58"/>
    <w:rsid w:val="5C243387"/>
    <w:rsid w:val="5C332962"/>
    <w:rsid w:val="5C3F104F"/>
    <w:rsid w:val="5D35760E"/>
    <w:rsid w:val="5DE80B25"/>
    <w:rsid w:val="5DFB41A1"/>
    <w:rsid w:val="5E007CB6"/>
    <w:rsid w:val="5EC55836"/>
    <w:rsid w:val="611F6F3D"/>
    <w:rsid w:val="61B825BC"/>
    <w:rsid w:val="62467BC8"/>
    <w:rsid w:val="62483940"/>
    <w:rsid w:val="62776161"/>
    <w:rsid w:val="628E0D36"/>
    <w:rsid w:val="62AE5B3C"/>
    <w:rsid w:val="636831B2"/>
    <w:rsid w:val="63774473"/>
    <w:rsid w:val="66035B5B"/>
    <w:rsid w:val="68A564EF"/>
    <w:rsid w:val="699E7743"/>
    <w:rsid w:val="69B813AB"/>
    <w:rsid w:val="6B935512"/>
    <w:rsid w:val="6BEE023F"/>
    <w:rsid w:val="6C5E4225"/>
    <w:rsid w:val="6CB24EA6"/>
    <w:rsid w:val="6EF773B9"/>
    <w:rsid w:val="70017C18"/>
    <w:rsid w:val="70434C25"/>
    <w:rsid w:val="705F5105"/>
    <w:rsid w:val="72211FE4"/>
    <w:rsid w:val="725B76BF"/>
    <w:rsid w:val="74364A76"/>
    <w:rsid w:val="74D83200"/>
    <w:rsid w:val="74DB6201"/>
    <w:rsid w:val="7569051D"/>
    <w:rsid w:val="76165DD7"/>
    <w:rsid w:val="76DE441B"/>
    <w:rsid w:val="77204A34"/>
    <w:rsid w:val="77D45F4A"/>
    <w:rsid w:val="78166C68"/>
    <w:rsid w:val="788D2783"/>
    <w:rsid w:val="78CE0BEB"/>
    <w:rsid w:val="78DE109B"/>
    <w:rsid w:val="7910556F"/>
    <w:rsid w:val="79982FA7"/>
    <w:rsid w:val="7A087F53"/>
    <w:rsid w:val="7A9E5575"/>
    <w:rsid w:val="7BB80F12"/>
    <w:rsid w:val="7C266648"/>
    <w:rsid w:val="7C767368"/>
    <w:rsid w:val="7CC02349"/>
    <w:rsid w:val="7CE65DD7"/>
    <w:rsid w:val="7D5B4A17"/>
    <w:rsid w:val="7ED33CEE"/>
    <w:rsid w:val="7F4E65E2"/>
    <w:rsid w:val="7F5C3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39"/>
    <w:pPr>
      <w:ind w:left="1200" w:leftChars="1200"/>
    </w:pPr>
  </w:style>
  <w:style w:type="paragraph" w:styleId="6">
    <w:name w:val="Normal Indent"/>
    <w:basedOn w:val="1"/>
    <w:uiPriority w:val="0"/>
    <w:pPr>
      <w:ind w:firstLine="420"/>
    </w:pPr>
  </w:style>
  <w:style w:type="paragraph" w:styleId="7">
    <w:name w:val="Document Map"/>
    <w:basedOn w:val="1"/>
    <w:qFormat/>
    <w:uiPriority w:val="0"/>
    <w:rPr>
      <w:rFonts w:ascii="宋体" w:cs="宋体"/>
      <w:sz w:val="18"/>
      <w:szCs w:val="18"/>
    </w:rPr>
  </w:style>
  <w:style w:type="paragraph" w:styleId="8">
    <w:name w:val="annotation text"/>
    <w:basedOn w:val="1"/>
    <w:link w:val="38"/>
    <w:qFormat/>
    <w:uiPriority w:val="0"/>
    <w:pPr>
      <w:jc w:val="left"/>
    </w:pPr>
    <w:rPr>
      <w:rFonts w:ascii="Times New Roman" w:hAnsi="Times New Roman"/>
      <w:szCs w:val="20"/>
    </w:rPr>
  </w:style>
  <w:style w:type="paragraph" w:styleId="9">
    <w:name w:val="Body Text 3"/>
    <w:basedOn w:val="1"/>
    <w:link w:val="39"/>
    <w:qFormat/>
    <w:uiPriority w:val="0"/>
    <w:rPr>
      <w:rFonts w:ascii="宋体"/>
      <w:sz w:val="24"/>
      <w:szCs w:val="20"/>
    </w:rPr>
  </w:style>
  <w:style w:type="paragraph" w:styleId="10">
    <w:name w:val="toc 5"/>
    <w:basedOn w:val="1"/>
    <w:next w:val="1"/>
    <w:qFormat/>
    <w:uiPriority w:val="39"/>
    <w:pPr>
      <w:ind w:left="800" w:leftChars="800"/>
    </w:pPr>
  </w:style>
  <w:style w:type="paragraph" w:styleId="11">
    <w:name w:val="toc 3"/>
    <w:basedOn w:val="1"/>
    <w:next w:val="1"/>
    <w:qFormat/>
    <w:uiPriority w:val="39"/>
    <w:pPr>
      <w:ind w:left="400" w:leftChars="400"/>
    </w:pPr>
  </w:style>
  <w:style w:type="paragraph" w:styleId="12">
    <w:name w:val="Plain Text"/>
    <w:basedOn w:val="1"/>
    <w:qFormat/>
    <w:uiPriority w:val="0"/>
    <w:rPr>
      <w:rFonts w:ascii="宋体"/>
    </w:rPr>
  </w:style>
  <w:style w:type="paragraph" w:styleId="13">
    <w:name w:val="toc 8"/>
    <w:basedOn w:val="1"/>
    <w:next w:val="1"/>
    <w:qFormat/>
    <w:uiPriority w:val="39"/>
    <w:pPr>
      <w:ind w:left="1400" w:leftChars="1400"/>
    </w:pPr>
  </w:style>
  <w:style w:type="paragraph" w:styleId="14">
    <w:name w:val="Date"/>
    <w:basedOn w:val="1"/>
    <w:next w:val="1"/>
    <w:qFormat/>
    <w:uiPriority w:val="0"/>
    <w:pPr>
      <w:ind w:left="2500" w:leftChars="2500"/>
    </w:pPr>
    <w:rPr>
      <w:rFonts w:ascii="Times New Roman" w:hAnsi="Times New Roman"/>
      <w:szCs w:val="20"/>
    </w:rPr>
  </w:style>
  <w:style w:type="paragraph" w:styleId="15">
    <w:name w:val="Balloon Text"/>
    <w:basedOn w:val="1"/>
    <w:qFormat/>
    <w:uiPriority w:val="0"/>
    <w:rPr>
      <w:rFonts w:ascii="Times New Roman" w:hAnsi="Times New Roman"/>
      <w:sz w:val="18"/>
      <w:szCs w:val="20"/>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pPr>
    <w:rPr>
      <w:rFonts w:ascii="Times New Roman" w:hAnsi="Times New Roman"/>
      <w:sz w:val="18"/>
      <w:szCs w:val="20"/>
    </w:rPr>
  </w:style>
  <w:style w:type="paragraph" w:styleId="18">
    <w:name w:val="toc 1"/>
    <w:basedOn w:val="1"/>
    <w:next w:val="1"/>
    <w:qFormat/>
    <w:uiPriority w:val="39"/>
  </w:style>
  <w:style w:type="paragraph" w:styleId="19">
    <w:name w:val="toc 4"/>
    <w:basedOn w:val="1"/>
    <w:next w:val="1"/>
    <w:qFormat/>
    <w:uiPriority w:val="39"/>
    <w:pPr>
      <w:ind w:left="600" w:leftChars="600"/>
    </w:pPr>
  </w:style>
  <w:style w:type="paragraph" w:styleId="20">
    <w:name w:val="toc 6"/>
    <w:basedOn w:val="1"/>
    <w:next w:val="1"/>
    <w:qFormat/>
    <w:uiPriority w:val="39"/>
    <w:pPr>
      <w:ind w:left="1000" w:leftChars="1000"/>
    </w:pPr>
  </w:style>
  <w:style w:type="paragraph" w:styleId="21">
    <w:name w:val="Body Text Indent 3"/>
    <w:basedOn w:val="1"/>
    <w:qFormat/>
    <w:uiPriority w:val="0"/>
    <w:pPr>
      <w:spacing w:after="120"/>
      <w:ind w:left="200" w:leftChars="200"/>
    </w:pPr>
    <w:rPr>
      <w:sz w:val="16"/>
      <w:szCs w:val="16"/>
    </w:rPr>
  </w:style>
  <w:style w:type="paragraph" w:styleId="22">
    <w:name w:val="toc 2"/>
    <w:basedOn w:val="1"/>
    <w:next w:val="1"/>
    <w:qFormat/>
    <w:uiPriority w:val="39"/>
    <w:pPr>
      <w:ind w:left="200" w:leftChars="200"/>
    </w:pPr>
  </w:style>
  <w:style w:type="paragraph" w:styleId="23">
    <w:name w:val="toc 9"/>
    <w:basedOn w:val="1"/>
    <w:next w:val="1"/>
    <w:qFormat/>
    <w:uiPriority w:val="39"/>
    <w:pPr>
      <w:ind w:left="1600" w:leftChars="1600"/>
    </w:pPr>
  </w:style>
  <w:style w:type="paragraph" w:styleId="24">
    <w:name w:val="annotation subject"/>
    <w:basedOn w:val="8"/>
    <w:next w:val="8"/>
    <w:qFormat/>
    <w:uiPriority w:val="0"/>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qFormat/>
    <w:uiPriority w:val="0"/>
    <w:rPr>
      <w:sz w:val="21"/>
    </w:rPr>
  </w:style>
  <w:style w:type="character" w:customStyle="1" w:styleId="32">
    <w:name w:val="style_kwd"/>
    <w:basedOn w:val="27"/>
    <w:qFormat/>
    <w:uiPriority w:val="0"/>
  </w:style>
  <w:style w:type="character" w:customStyle="1" w:styleId="33">
    <w:name w:val="批注文字 Char1"/>
    <w:qFormat/>
    <w:uiPriority w:val="0"/>
    <w:rPr>
      <w:rFonts w:ascii="Times New Roman" w:hAnsi="Times New Roman" w:eastAsia="宋体" w:cs="Times New Roman"/>
      <w:sz w:val="20"/>
      <w:szCs w:val="20"/>
      <w:lang w:bidi="ar-SA"/>
    </w:rPr>
  </w:style>
  <w:style w:type="character" w:customStyle="1" w:styleId="34">
    <w:name w:val="Comment Text Char"/>
    <w:qFormat/>
    <w:uiPriority w:val="0"/>
  </w:style>
  <w:style w:type="paragraph" w:customStyle="1" w:styleId="35">
    <w:name w:val="Revision"/>
    <w:qFormat/>
    <w:uiPriority w:val="0"/>
    <w:rPr>
      <w:rFonts w:ascii="Times New Roman" w:hAnsi="Times New Roman" w:eastAsia="宋体" w:cs="Times New Roman"/>
      <w:kern w:val="2"/>
      <w:sz w:val="21"/>
      <w:lang w:val="en-US" w:eastAsia="zh-CN" w:bidi="ar-SA"/>
    </w:rPr>
  </w:style>
  <w:style w:type="paragraph" w:customStyle="1" w:styleId="36">
    <w:name w:val="_Style 23"/>
    <w:basedOn w:val="1"/>
    <w:qFormat/>
    <w:uiPriority w:val="0"/>
    <w:pPr>
      <w:widowControl/>
      <w:spacing w:after="160" w:line="240" w:lineRule="exact"/>
      <w:jc w:val="left"/>
    </w:pPr>
  </w:style>
  <w:style w:type="paragraph" w:customStyle="1" w:styleId="37">
    <w:name w:val="TOC Heading"/>
    <w:basedOn w:val="2"/>
    <w:next w:val="1"/>
    <w:qFormat/>
    <w:uiPriority w:val="39"/>
    <w:pPr>
      <w:widowControl/>
      <w:spacing w:before="480" w:after="0" w:line="276" w:lineRule="auto"/>
      <w:jc w:val="left"/>
      <w:outlineLvl w:val="9"/>
    </w:pPr>
    <w:rPr>
      <w:rFonts w:ascii="Cambria" w:hAnsi="Cambria"/>
      <w:color w:val="365F91"/>
      <w:kern w:val="0"/>
      <w:sz w:val="28"/>
    </w:rPr>
  </w:style>
  <w:style w:type="character" w:customStyle="1" w:styleId="38">
    <w:name w:val="批注文字 Char"/>
    <w:basedOn w:val="27"/>
    <w:link w:val="8"/>
    <w:qFormat/>
    <w:uiPriority w:val="0"/>
    <w:rPr>
      <w:rFonts w:eastAsia="宋体"/>
      <w:kern w:val="2"/>
      <w:sz w:val="21"/>
    </w:rPr>
  </w:style>
  <w:style w:type="character" w:customStyle="1" w:styleId="39">
    <w:name w:val="正文文本 3 Char"/>
    <w:basedOn w:val="27"/>
    <w:link w:val="9"/>
    <w:qFormat/>
    <w:uiPriority w:val="0"/>
    <w:rPr>
      <w:rFonts w:ascii="宋体" w:hAnsi="Calibri" w:eastAsia="宋体"/>
      <w:kern w:val="2"/>
      <w:sz w:val="24"/>
    </w:rPr>
  </w:style>
  <w:style w:type="character" w:customStyle="1" w:styleId="40">
    <w:name w:val="font161"/>
    <w:qFormat/>
    <w:uiPriority w:val="0"/>
    <w:rPr>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8BDF83-A3C8-4A7D-AD95-33CF64F695E6}">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78</Pages>
  <Words>27768</Words>
  <Characters>29725</Characters>
  <Lines>360</Lines>
  <Paragraphs>101</Paragraphs>
  <TotalTime>1</TotalTime>
  <ScaleCrop>false</ScaleCrop>
  <LinksUpToDate>false</LinksUpToDate>
  <CharactersWithSpaces>33219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2017-09-04T09:36:00Z</cp:lastPrinted>
  <dcterms:modified xsi:type="dcterms:W3CDTF">2023-06-07T02:21:45Z</dcterms:modified>
  <dc:title>中华人民共和国</dc:title>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3D959D898CAC4255BA6B164246E0E666</vt:lpwstr>
  </property>
</Properties>
</file>