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9F" w:rsidRPr="00901D9F" w:rsidRDefault="00901D9F" w:rsidP="00901D9F">
      <w:pPr>
        <w:widowControl/>
        <w:spacing w:line="480" w:lineRule="atLeast"/>
        <w:jc w:val="left"/>
        <w:outlineLvl w:val="2"/>
        <w:rPr>
          <w:rFonts w:ascii="黑体" w:eastAsia="黑体" w:hAnsi="黑体" w:cs="黑体"/>
          <w:color w:val="000000" w:themeColor="text1"/>
          <w:kern w:val="0"/>
          <w:sz w:val="32"/>
          <w:szCs w:val="32"/>
        </w:rPr>
      </w:pPr>
      <w:r w:rsidRPr="00901D9F">
        <w:rPr>
          <w:rFonts w:ascii="黑体" w:eastAsia="黑体" w:hAnsi="黑体" w:cs="黑体"/>
          <w:color w:val="000000" w:themeColor="text1"/>
          <w:kern w:val="0"/>
          <w:sz w:val="32"/>
          <w:szCs w:val="32"/>
        </w:rPr>
        <w:t>附件：</w:t>
      </w:r>
    </w:p>
    <w:p w:rsidR="00901D9F" w:rsidRPr="00901D9F" w:rsidRDefault="00901D9F" w:rsidP="00901D9F">
      <w:pPr>
        <w:widowControl/>
        <w:spacing w:line="480" w:lineRule="atLeast"/>
        <w:jc w:val="center"/>
        <w:outlineLvl w:val="2"/>
        <w:rPr>
          <w:rFonts w:ascii="方正小标宋简体" w:eastAsia="方正小标宋简体" w:hAnsi="方正小标宋简体" w:cs="方正小标宋简体"/>
          <w:color w:val="000000" w:themeColor="text1"/>
          <w:kern w:val="0"/>
          <w:sz w:val="36"/>
          <w:szCs w:val="36"/>
        </w:rPr>
      </w:pPr>
      <w:bookmarkStart w:id="0" w:name="_GoBack"/>
      <w:r w:rsidRPr="00901D9F">
        <w:rPr>
          <w:rFonts w:ascii="方正小标宋简体" w:eastAsia="方正小标宋简体" w:hAnsi="方正小标宋简体" w:cs="方正小标宋简体"/>
          <w:color w:val="000000" w:themeColor="text1"/>
          <w:kern w:val="0"/>
          <w:sz w:val="36"/>
          <w:szCs w:val="36"/>
        </w:rPr>
        <w:t>呼和浩特市公共资源交易平台委托招标规程</w:t>
      </w:r>
    </w:p>
    <w:p w:rsidR="00901D9F" w:rsidRPr="00901D9F" w:rsidRDefault="00901D9F" w:rsidP="00901D9F">
      <w:pPr>
        <w:widowControl/>
        <w:spacing w:line="480" w:lineRule="atLeast"/>
        <w:jc w:val="center"/>
        <w:outlineLvl w:val="2"/>
        <w:rPr>
          <w:rFonts w:ascii="方正小标宋简体" w:eastAsia="方正小标宋简体" w:hAnsi="方正小标宋简体" w:cs="方正小标宋简体"/>
          <w:color w:val="000000" w:themeColor="text1"/>
          <w:kern w:val="0"/>
          <w:sz w:val="36"/>
          <w:szCs w:val="36"/>
        </w:rPr>
      </w:pPr>
      <w:r w:rsidRPr="00901D9F">
        <w:rPr>
          <w:rFonts w:ascii="方正小标宋简体" w:eastAsia="方正小标宋简体" w:hAnsi="方正小标宋简体" w:cs="方正小标宋简体"/>
          <w:color w:val="000000" w:themeColor="text1"/>
          <w:kern w:val="0"/>
          <w:sz w:val="36"/>
          <w:szCs w:val="36"/>
        </w:rPr>
        <w:t>（试行）</w:t>
      </w:r>
    </w:p>
    <w:bookmarkEnd w:id="0"/>
    <w:p w:rsidR="00901D9F" w:rsidRPr="00901D9F" w:rsidRDefault="00901D9F" w:rsidP="00901D9F">
      <w:pPr>
        <w:rPr>
          <w:szCs w:val="24"/>
        </w:rPr>
      </w:pPr>
    </w:p>
    <w:p w:rsidR="00901D9F" w:rsidRPr="00901D9F" w:rsidRDefault="00901D9F" w:rsidP="00901D9F">
      <w:pPr>
        <w:widowControl/>
        <w:wordWrap w:val="0"/>
        <w:spacing w:line="560" w:lineRule="exact"/>
        <w:rPr>
          <w:rFonts w:ascii="Calibri" w:hAnsi="Calibri" w:cs="Calibri"/>
          <w:color w:val="000000" w:themeColor="text1"/>
          <w:kern w:val="0"/>
          <w:szCs w:val="21"/>
        </w:rPr>
      </w:pPr>
      <w:r w:rsidRPr="00901D9F">
        <w:rPr>
          <w:rFonts w:ascii="黑体" w:eastAsia="黑体" w:hAnsi="宋体" w:cs="黑体"/>
          <w:color w:val="000000" w:themeColor="text1"/>
          <w:kern w:val="0"/>
          <w:sz w:val="32"/>
          <w:szCs w:val="32"/>
        </w:rPr>
        <w:t>    </w:t>
      </w:r>
      <w:r w:rsidRPr="00901D9F">
        <w:rPr>
          <w:rFonts w:ascii="黑体" w:eastAsia="黑体" w:hAnsi="宋体" w:cs="黑体"/>
          <w:color w:val="000000" w:themeColor="text1"/>
          <w:kern w:val="0"/>
          <w:sz w:val="32"/>
          <w:szCs w:val="32"/>
        </w:rPr>
        <w:t>第一条</w:t>
      </w:r>
      <w:r w:rsidRPr="00901D9F">
        <w:rPr>
          <w:rFonts w:ascii="黑体" w:eastAsia="黑体" w:hAnsi="宋体" w:cs="黑体" w:hint="eastAsia"/>
          <w:color w:val="000000" w:themeColor="text1"/>
          <w:kern w:val="0"/>
          <w:sz w:val="32"/>
          <w:szCs w:val="32"/>
        </w:rPr>
        <w:t> </w:t>
      </w:r>
      <w:r w:rsidRPr="00901D9F">
        <w:rPr>
          <w:rFonts w:ascii="仿宋" w:eastAsia="仿宋" w:hAnsi="仿宋" w:cs="仿宋"/>
          <w:color w:val="000000" w:themeColor="text1"/>
          <w:kern w:val="0"/>
          <w:sz w:val="32"/>
          <w:szCs w:val="32"/>
        </w:rPr>
        <w:t>为</w:t>
      </w:r>
      <w:r w:rsidRPr="00901D9F">
        <w:rPr>
          <w:rFonts w:ascii="仿宋" w:eastAsia="仿宋" w:hAnsi="仿宋" w:cs="仿宋" w:hint="eastAsia"/>
          <w:color w:val="000000" w:themeColor="text1"/>
          <w:kern w:val="0"/>
          <w:sz w:val="32"/>
          <w:szCs w:val="32"/>
        </w:rPr>
        <w:t>扩大呼和浩特市公共资源交易服务中心（以下简称市交易服务中心）服务覆盖范围，保障我市</w:t>
      </w:r>
      <w:r w:rsidRPr="00901D9F">
        <w:rPr>
          <w:rFonts w:ascii="仿宋" w:eastAsia="仿宋" w:hAnsi="仿宋" w:cs="仿宋" w:hint="eastAsia"/>
          <w:kern w:val="0"/>
          <w:sz w:val="32"/>
          <w:szCs w:val="32"/>
        </w:rPr>
        <w:t>公共资源交易</w:t>
      </w:r>
      <w:r w:rsidRPr="00901D9F">
        <w:rPr>
          <w:rFonts w:ascii="仿宋" w:eastAsia="仿宋" w:hAnsi="仿宋" w:cs="仿宋" w:hint="eastAsia"/>
          <w:color w:val="000000" w:themeColor="text1"/>
          <w:kern w:val="0"/>
          <w:sz w:val="32"/>
          <w:szCs w:val="32"/>
        </w:rPr>
        <w:t>工作有序进行，依据《中华人民共和国招标投标法》、《中华人民共和国招标投标法实施条例》、《必须招标的工程项目规定》（国家发展和改革委员会第16号令）、《内蒙古公共资源交易管理办法》、《呼和浩特市公共资源交易监督管理办法》等有关规定，推行以委托方式进入公共资源交易平台服务模式。</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第二条</w:t>
      </w:r>
      <w:r w:rsidRPr="00901D9F">
        <w:rPr>
          <w:rFonts w:ascii="宋体" w:eastAsia="宋体" w:hAnsi="宋体" w:cs="宋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本规程适用于进入呼和浩特市公共资源交易平台开展交易（以下简称进入平台交易）的使用国有资金或政府投资项目全流程组织与实施。“委托招标项目”是指国家法律及相关规定允许可不进行公开招标的各类公共资源交易，依照相关规定可由招标人以委托形式自主选择进入呼和浩特市公共资源交易服务中心（以下简称市交易服务中心）进行公开招标交易的项目。市交易服务中心在优先保障依法必须招标政府投资或使用国有资金的大型基础设施、公用事业等关系社会公共利益、公众安全项目的交易需求的前提下，依照招标人委托提供公共资源交易服务。</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第三条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委托招标项目遵循自愿委托、分类指导、参照管理、统一规范、全流程电子化的原则。</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lastRenderedPageBreak/>
        <w:t>第四条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进入平台交易的必须招标项目参照依法必须招标项目管理，应当采用公开招标方式。</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委托招标项目需要履行审批手续的，应当先履行审批手续取得批准。</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委托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招标活动全过程应由相关行政监督部门依法实施监督，呼和浩特市公共资源交易监督管理局对委托招标项目施行综合监督管理，市交易服务中心依法依规履行组织、实施及服务职责。</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第五条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进入平台交易的委托招标项目招标人应提供以下资料：</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（一）招标人依法组建证明；</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（二）行政审批部门审批或核准（立项）文件；</w:t>
      </w:r>
    </w:p>
    <w:p w:rsidR="00901D9F" w:rsidRPr="00901D9F" w:rsidRDefault="00901D9F" w:rsidP="00901D9F">
      <w:pPr>
        <w:widowControl/>
        <w:wordWrap w:val="0"/>
        <w:spacing w:line="560" w:lineRule="exact"/>
        <w:ind w:firstLineChars="200"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（三）具备招标项目的相应资金或资金来源落实证明文件；</w:t>
      </w:r>
    </w:p>
    <w:p w:rsidR="00901D9F" w:rsidRPr="00901D9F" w:rsidRDefault="00901D9F" w:rsidP="00901D9F">
      <w:pPr>
        <w:widowControl/>
        <w:wordWrap w:val="0"/>
        <w:spacing w:line="560" w:lineRule="exact"/>
        <w:ind w:firstLineChars="200"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（四）工程规划、国有建设用地需审批的应当完成审批；</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（五）招标代理合同或招标人具备自主招标能力证明；</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（六）委托招标项目进入市公共资源交易平台委托书；</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（七）其它应当依法完成的审批、备案、核准证明文件。</w:t>
      </w:r>
    </w:p>
    <w:p w:rsidR="00901D9F" w:rsidRPr="00901D9F" w:rsidRDefault="00901D9F" w:rsidP="00901D9F">
      <w:pPr>
        <w:widowControl/>
        <w:wordWrap w:val="0"/>
        <w:spacing w:line="560" w:lineRule="exact"/>
        <w:ind w:firstLine="640"/>
        <w:jc w:val="left"/>
        <w:rPr>
          <w:rFonts w:ascii="Calibri" w:eastAsia="仿宋" w:hAnsi="Calibri" w:cs="Calibri"/>
          <w:color w:val="000000" w:themeColor="text1"/>
          <w:kern w:val="0"/>
          <w:szCs w:val="21"/>
        </w:rPr>
      </w:pPr>
      <w:r w:rsidRPr="00901D9F">
        <w:rPr>
          <w:rFonts w:ascii="黑体" w:eastAsia="黑体" w:hAnsi="宋体" w:cs="黑体" w:hint="eastAsia"/>
          <w:color w:val="000000" w:themeColor="text1"/>
          <w:kern w:val="0"/>
          <w:sz w:val="32"/>
          <w:szCs w:val="32"/>
        </w:rPr>
        <w:lastRenderedPageBreak/>
        <w:t>第六条</w:t>
      </w:r>
      <w:r w:rsidRPr="00901D9F">
        <w:rPr>
          <w:rFonts w:ascii="宋体" w:eastAsia="宋体" w:hAnsi="宋体" w:cs="宋体" w:hint="eastAsia"/>
          <w:b/>
          <w:bCs/>
          <w:color w:val="000000" w:themeColor="text1"/>
          <w:kern w:val="0"/>
          <w:sz w:val="32"/>
          <w:szCs w:val="32"/>
        </w:rPr>
        <w:t> </w:t>
      </w:r>
      <w:r w:rsidRPr="00901D9F">
        <w:rPr>
          <w:rFonts w:ascii="仿宋" w:eastAsia="仿宋" w:hAnsi="仿宋" w:cs="仿宋" w:hint="eastAsia"/>
          <w:color w:val="000000" w:themeColor="text1"/>
          <w:kern w:val="0"/>
          <w:sz w:val="32"/>
          <w:szCs w:val="32"/>
        </w:rPr>
        <w:t>进入平台交易的委托招标项目有下列情形之一的，委托不予接受；</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（一）本规程第五条中应当提供的资料提供不齐全、不符合相关要求的；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（二）交易服务中心开评标场地排期已饱和，无法按期提供交易服务的；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（三）委托招标项目无行政监督部门监管或监督权属不明确的；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（四）自治区综合评标专家</w:t>
      </w:r>
      <w:proofErr w:type="gramStart"/>
      <w:r w:rsidRPr="00901D9F">
        <w:rPr>
          <w:rFonts w:ascii="仿宋" w:eastAsia="仿宋" w:hAnsi="仿宋" w:cs="仿宋" w:hint="eastAsia"/>
          <w:color w:val="000000" w:themeColor="text1"/>
          <w:kern w:val="0"/>
          <w:sz w:val="32"/>
          <w:szCs w:val="32"/>
        </w:rPr>
        <w:t>库无法</w:t>
      </w:r>
      <w:proofErr w:type="gramEnd"/>
      <w:r w:rsidRPr="00901D9F">
        <w:rPr>
          <w:rFonts w:ascii="仿宋" w:eastAsia="仿宋" w:hAnsi="仿宋" w:cs="仿宋" w:hint="eastAsia"/>
          <w:color w:val="000000" w:themeColor="text1"/>
          <w:kern w:val="0"/>
          <w:sz w:val="32"/>
          <w:szCs w:val="32"/>
        </w:rPr>
        <w:t>满足委托项目所需评标（评审）专业，且无相近替换专业类别无法组建评标委员会的；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（五）已进入平台交易的项目无正当理由一个月内未按流程进行招投标工作的，或经催告后3个工作日内无正当理由仍不进行交易的；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（六）其他不符合交易条件的情形。</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第七条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进入平台交易的委托招标项目有下列情形之一的，委托交易暂停：</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（一）因电力、网络故障或其他计算机软硬件异常情况致使交易不能进行的，或者因不可抗力致使交易活动暂不能进行的；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（二）交易过程中，利害关系人对项目交易环节提出异议，尚未依法排除的；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t>（三）</w:t>
      </w:r>
      <w:proofErr w:type="gramStart"/>
      <w:r w:rsidRPr="00901D9F">
        <w:rPr>
          <w:rFonts w:ascii="仿宋" w:eastAsia="仿宋" w:hAnsi="仿宋" w:cs="仿宋" w:hint="eastAsia"/>
          <w:color w:val="000000" w:themeColor="text1"/>
          <w:kern w:val="0"/>
          <w:sz w:val="32"/>
          <w:szCs w:val="32"/>
        </w:rPr>
        <w:t>违反市</w:t>
      </w:r>
      <w:proofErr w:type="gramEnd"/>
      <w:r w:rsidRPr="00901D9F">
        <w:rPr>
          <w:rFonts w:ascii="仿宋" w:eastAsia="仿宋" w:hAnsi="仿宋" w:cs="仿宋" w:hint="eastAsia"/>
          <w:color w:val="000000" w:themeColor="text1"/>
          <w:kern w:val="0"/>
          <w:sz w:val="32"/>
          <w:szCs w:val="32"/>
        </w:rPr>
        <w:t>公共资源交易监督管理局相关规定未及时改正的；</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仿宋" w:eastAsia="仿宋" w:hAnsi="仿宋" w:cs="仿宋" w:hint="eastAsia"/>
          <w:color w:val="000000" w:themeColor="text1"/>
          <w:kern w:val="0"/>
          <w:sz w:val="32"/>
          <w:szCs w:val="32"/>
        </w:rPr>
        <w:lastRenderedPageBreak/>
        <w:t>（四）依法依规应当暂停交易的其他情形。</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第八条</w:t>
      </w:r>
      <w:r w:rsidRPr="00901D9F">
        <w:rPr>
          <w:rFonts w:ascii="宋体" w:eastAsia="宋体" w:hAnsi="宋体" w:cs="宋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招标人应当及时处理交易活动过程中出现的质疑、异议，行政监督部门应当及时处理各类投诉或异常情况。对可能影响交易进程、结果或者造成严重损失的，交易活动应及时暂停或中（终）止，并通知市交易服务中心启动项目暂停或中（终）止。有关质疑（异议）及投诉内容、招标人与行政监督部门的答复和异常情况处理流程及结果等相关记录均抄送市交易服务中心留存。</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第九条</w:t>
      </w:r>
      <w:r w:rsidRPr="00901D9F">
        <w:rPr>
          <w:rFonts w:ascii="宋体" w:eastAsia="宋体" w:hAnsi="宋体" w:cs="宋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市交易服务中心对进入平台交易的委托招标项目进行全过程见证服务并对开评标现场施行组织与管理，实时记录交易各方违反相关管理制度的行为，并视情节采取提醒、制止、纠正等措施。对涉嫌违法违规的行为，市交易服务中心应及时上报并配合市公共资源交易监督管理局、行政监督部门处理。</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第十条</w:t>
      </w:r>
      <w:r w:rsidRPr="00901D9F">
        <w:rPr>
          <w:rFonts w:ascii="宋体" w:eastAsia="宋体" w:hAnsi="宋体" w:cs="宋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进入平台交易的委托招标项目交易各方应各尽其责，确保项目交易在符合有关法律、法规及市公共资源交易监督管理局相关管理制度的前提下实施。</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第十一条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法律法规对有关委托招标项目交易另有规定的，从其规定。</w:t>
      </w: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r w:rsidRPr="00901D9F">
        <w:rPr>
          <w:rFonts w:ascii="黑体" w:eastAsia="黑体" w:hAnsi="宋体" w:cs="黑体" w:hint="eastAsia"/>
          <w:color w:val="000000" w:themeColor="text1"/>
          <w:kern w:val="0"/>
          <w:sz w:val="32"/>
          <w:szCs w:val="32"/>
        </w:rPr>
        <w:t>第十二条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本规程由呼和浩特市公共资源交易服务中心负责解释。</w:t>
      </w:r>
    </w:p>
    <w:p w:rsidR="00901D9F" w:rsidRPr="00901D9F" w:rsidRDefault="00901D9F" w:rsidP="00901D9F">
      <w:pPr>
        <w:widowControl/>
        <w:wordWrap w:val="0"/>
        <w:spacing w:line="560" w:lineRule="exact"/>
        <w:ind w:firstLine="640"/>
        <w:jc w:val="left"/>
        <w:rPr>
          <w:rFonts w:ascii="仿宋" w:eastAsia="仿宋" w:hAnsi="仿宋" w:cs="仿宋"/>
          <w:color w:val="000000" w:themeColor="text1"/>
          <w:kern w:val="0"/>
          <w:sz w:val="32"/>
          <w:szCs w:val="32"/>
        </w:rPr>
      </w:pPr>
      <w:r w:rsidRPr="00901D9F">
        <w:rPr>
          <w:rFonts w:ascii="黑体" w:eastAsia="黑体" w:hAnsi="宋体" w:cs="黑体" w:hint="eastAsia"/>
          <w:color w:val="000000" w:themeColor="text1"/>
          <w:kern w:val="0"/>
          <w:sz w:val="32"/>
          <w:szCs w:val="32"/>
        </w:rPr>
        <w:t>第十三条</w:t>
      </w:r>
      <w:r w:rsidRPr="00901D9F">
        <w:rPr>
          <w:rFonts w:ascii="黑体" w:eastAsia="黑体" w:hAnsi="宋体" w:cs="黑体" w:hint="eastAsia"/>
          <w:color w:val="000000" w:themeColor="text1"/>
          <w:kern w:val="0"/>
          <w:sz w:val="32"/>
          <w:szCs w:val="32"/>
        </w:rPr>
        <w:t> </w:t>
      </w:r>
      <w:r w:rsidRPr="00901D9F">
        <w:rPr>
          <w:rFonts w:ascii="仿宋" w:eastAsia="仿宋" w:hAnsi="仿宋" w:cs="仿宋" w:hint="eastAsia"/>
          <w:color w:val="000000" w:themeColor="text1"/>
          <w:kern w:val="0"/>
          <w:sz w:val="32"/>
          <w:szCs w:val="32"/>
        </w:rPr>
        <w:t>本规程自印发之日起施行。</w:t>
      </w:r>
    </w:p>
    <w:p w:rsidR="00901D9F" w:rsidRPr="00901D9F" w:rsidRDefault="00901D9F" w:rsidP="00901D9F">
      <w:pPr>
        <w:widowControl/>
        <w:wordWrap w:val="0"/>
        <w:spacing w:line="560" w:lineRule="exact"/>
        <w:ind w:firstLine="640"/>
        <w:jc w:val="left"/>
        <w:rPr>
          <w:rFonts w:ascii="仿宋" w:eastAsia="仿宋" w:hAnsi="仿宋" w:cs="仿宋"/>
          <w:color w:val="000000" w:themeColor="text1"/>
          <w:kern w:val="0"/>
          <w:sz w:val="32"/>
          <w:szCs w:val="32"/>
        </w:rPr>
      </w:pPr>
    </w:p>
    <w:p w:rsidR="00901D9F" w:rsidRPr="00901D9F" w:rsidRDefault="00901D9F" w:rsidP="00901D9F">
      <w:pPr>
        <w:widowControl/>
        <w:wordWrap w:val="0"/>
        <w:spacing w:line="560" w:lineRule="exact"/>
        <w:ind w:firstLine="640"/>
        <w:jc w:val="left"/>
        <w:rPr>
          <w:rFonts w:ascii="Calibri" w:hAnsi="Calibri" w:cs="Calibri"/>
          <w:color w:val="000000" w:themeColor="text1"/>
          <w:kern w:val="0"/>
          <w:szCs w:val="21"/>
        </w:rPr>
      </w:pPr>
    </w:p>
    <w:tbl>
      <w:tblPr>
        <w:tblW w:w="8700" w:type="dxa"/>
        <w:tblInd w:w="92" w:type="dxa"/>
        <w:tblCellMar>
          <w:top w:w="15" w:type="dxa"/>
          <w:left w:w="15" w:type="dxa"/>
          <w:bottom w:w="15" w:type="dxa"/>
          <w:right w:w="15" w:type="dxa"/>
        </w:tblCellMar>
        <w:tblLook w:val="04A0" w:firstRow="1" w:lastRow="0" w:firstColumn="1" w:lastColumn="0" w:noHBand="0" w:noVBand="1"/>
      </w:tblPr>
      <w:tblGrid>
        <w:gridCol w:w="2603"/>
        <w:gridCol w:w="6097"/>
      </w:tblGrid>
      <w:tr w:rsidR="00901D9F" w:rsidRPr="00901D9F" w:rsidTr="00A6186D">
        <w:trPr>
          <w:trHeight w:val="1633"/>
        </w:trPr>
        <w:tc>
          <w:tcPr>
            <w:tcW w:w="8700" w:type="dxa"/>
            <w:gridSpan w:val="2"/>
            <w:shd w:val="clear" w:color="auto" w:fill="auto"/>
            <w:noWrap/>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黑体" w:eastAsia="黑体" w:hAnsi="宋体" w:cs="黑体" w:hint="eastAsia"/>
                <w:color w:val="000000" w:themeColor="text1"/>
                <w:kern w:val="0"/>
                <w:sz w:val="48"/>
                <w:szCs w:val="48"/>
              </w:rPr>
              <w:lastRenderedPageBreak/>
              <w:t>委托招标项目进入市公共资源</w:t>
            </w:r>
          </w:p>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黑体" w:eastAsia="黑体" w:hAnsi="宋体" w:cs="黑体" w:hint="eastAsia"/>
                <w:color w:val="000000" w:themeColor="text1"/>
                <w:kern w:val="0"/>
                <w:sz w:val="48"/>
                <w:szCs w:val="48"/>
              </w:rPr>
              <w:t>交易平台委托书</w:t>
            </w:r>
          </w:p>
        </w:tc>
      </w:tr>
      <w:tr w:rsidR="00901D9F" w:rsidRPr="00901D9F" w:rsidTr="00A6186D">
        <w:trPr>
          <w:trHeight w:val="476"/>
        </w:trPr>
        <w:tc>
          <w:tcPr>
            <w:tcW w:w="26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项目名称</w:t>
            </w:r>
          </w:p>
        </w:tc>
        <w:tc>
          <w:tcPr>
            <w:tcW w:w="60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立项文件</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计划投资</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招标人单位名称</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联系人及联系方式</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行政监督部门</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所需评审专业类别</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476"/>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申请原因</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rPr>
                <w:rFonts w:ascii="Calibri" w:hAnsi="Calibri" w:cs="Calibri"/>
                <w:color w:val="000000" w:themeColor="text1"/>
                <w:kern w:val="0"/>
                <w:szCs w:val="21"/>
              </w:rPr>
            </w:pPr>
            <w:r w:rsidRPr="00901D9F">
              <w:rPr>
                <w:rFonts w:ascii="Calibri" w:hAnsi="Calibri" w:cs="Calibri"/>
                <w:color w:val="000000" w:themeColor="text1"/>
                <w:kern w:val="0"/>
                <w:szCs w:val="21"/>
              </w:rPr>
              <w:t> </w:t>
            </w:r>
          </w:p>
        </w:tc>
      </w:tr>
      <w:tr w:rsidR="00901D9F" w:rsidRPr="00901D9F" w:rsidTr="00A6186D">
        <w:trPr>
          <w:trHeight w:val="3742"/>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招标人申请</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ind w:firstLine="482"/>
              <w:jc w:val="left"/>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根据《中华人民共和国招标投标法》、《必须招标的工程项目规定》（</w:t>
            </w:r>
            <w:proofErr w:type="gramStart"/>
            <w:r w:rsidRPr="00901D9F">
              <w:rPr>
                <w:rFonts w:ascii="宋体" w:eastAsia="宋体" w:hAnsi="宋体" w:cs="宋体" w:hint="eastAsia"/>
                <w:b/>
                <w:bCs/>
                <w:color w:val="000000" w:themeColor="text1"/>
                <w:kern w:val="0"/>
                <w:sz w:val="24"/>
                <w:szCs w:val="24"/>
              </w:rPr>
              <w:t>国家发改委</w:t>
            </w:r>
            <w:proofErr w:type="gramEnd"/>
            <w:r w:rsidRPr="00901D9F">
              <w:rPr>
                <w:rFonts w:ascii="宋体" w:eastAsia="宋体" w:hAnsi="宋体" w:cs="宋体" w:hint="eastAsia"/>
                <w:b/>
                <w:bCs/>
                <w:color w:val="000000" w:themeColor="text1"/>
                <w:kern w:val="0"/>
                <w:sz w:val="24"/>
                <w:szCs w:val="24"/>
              </w:rPr>
              <w:t>16号令）要求，本项目不属于工程建设</w:t>
            </w:r>
            <w:proofErr w:type="gramStart"/>
            <w:r w:rsidRPr="00901D9F">
              <w:rPr>
                <w:rFonts w:ascii="宋体" w:eastAsia="宋体" w:hAnsi="宋体" w:cs="宋体" w:hint="eastAsia"/>
                <w:b/>
                <w:bCs/>
                <w:color w:val="000000" w:themeColor="text1"/>
                <w:kern w:val="0"/>
                <w:sz w:val="24"/>
                <w:szCs w:val="24"/>
              </w:rPr>
              <w:t>类依法</w:t>
            </w:r>
            <w:proofErr w:type="gramEnd"/>
            <w:r w:rsidRPr="00901D9F">
              <w:rPr>
                <w:rFonts w:ascii="宋体" w:eastAsia="宋体" w:hAnsi="宋体" w:cs="宋体" w:hint="eastAsia"/>
                <w:b/>
                <w:bCs/>
                <w:color w:val="000000" w:themeColor="text1"/>
                <w:kern w:val="0"/>
                <w:sz w:val="24"/>
                <w:szCs w:val="24"/>
              </w:rPr>
              <w:t>必须招标的范围。</w:t>
            </w:r>
          </w:p>
          <w:p w:rsidR="00901D9F" w:rsidRPr="00901D9F" w:rsidRDefault="00901D9F" w:rsidP="00901D9F">
            <w:pPr>
              <w:widowControl/>
              <w:ind w:firstLine="482"/>
              <w:jc w:val="left"/>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为规范本项目公开招标流程，确保国有资金的使用依法合</w:t>
            </w:r>
            <w:proofErr w:type="gramStart"/>
            <w:r w:rsidRPr="00901D9F">
              <w:rPr>
                <w:rFonts w:ascii="宋体" w:eastAsia="宋体" w:hAnsi="宋体" w:cs="宋体" w:hint="eastAsia"/>
                <w:b/>
                <w:bCs/>
                <w:color w:val="000000" w:themeColor="text1"/>
                <w:kern w:val="0"/>
                <w:sz w:val="24"/>
                <w:szCs w:val="24"/>
              </w:rPr>
              <w:t>规</w:t>
            </w:r>
            <w:proofErr w:type="gramEnd"/>
            <w:r w:rsidRPr="00901D9F">
              <w:rPr>
                <w:rFonts w:ascii="宋体" w:eastAsia="宋体" w:hAnsi="宋体" w:cs="宋体" w:hint="eastAsia"/>
                <w:b/>
                <w:bCs/>
                <w:color w:val="000000" w:themeColor="text1"/>
                <w:kern w:val="0"/>
                <w:sz w:val="24"/>
                <w:szCs w:val="24"/>
              </w:rPr>
              <w:t>，我单位特申请委托___________项目进入呼和浩特市公共资源交易平台进行公开招投标工作，并自愿接受市公共资源交易监督管理局全过程监管。因委托招标项目进入公共资源交易平台而产生的各类质疑及不良后果由我单位自行承担。</w:t>
            </w:r>
          </w:p>
        </w:tc>
      </w:tr>
      <w:tr w:rsidR="00901D9F" w:rsidRPr="00901D9F" w:rsidTr="00A6186D">
        <w:trPr>
          <w:trHeight w:val="2585"/>
        </w:trPr>
        <w:tc>
          <w:tcPr>
            <w:tcW w:w="26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center"/>
              <w:textAlignment w:val="center"/>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招标人法定代表人或主要负责人签字并加盖公章</w:t>
            </w:r>
          </w:p>
        </w:tc>
        <w:tc>
          <w:tcPr>
            <w:tcW w:w="6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01D9F" w:rsidRPr="00901D9F" w:rsidRDefault="00901D9F" w:rsidP="00901D9F">
            <w:pPr>
              <w:widowControl/>
              <w:jc w:val="right"/>
              <w:rPr>
                <w:rFonts w:ascii="Calibri" w:hAnsi="Calibri" w:cs="Calibri"/>
                <w:color w:val="000000" w:themeColor="text1"/>
                <w:kern w:val="0"/>
                <w:szCs w:val="21"/>
              </w:rPr>
            </w:pPr>
            <w:r w:rsidRPr="00901D9F">
              <w:rPr>
                <w:rFonts w:ascii="Calibri" w:hAnsi="Calibri" w:cs="Calibri"/>
                <w:color w:val="000000" w:themeColor="text1"/>
                <w:kern w:val="0"/>
                <w:szCs w:val="21"/>
              </w:rPr>
              <w:t> </w:t>
            </w: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jc w:val="right"/>
              <w:rPr>
                <w:rFonts w:ascii="Calibri" w:hAnsi="Calibri" w:cs="Calibri"/>
                <w:color w:val="000000" w:themeColor="text1"/>
                <w:kern w:val="0"/>
                <w:szCs w:val="21"/>
              </w:rPr>
            </w:pPr>
          </w:p>
          <w:p w:rsidR="00901D9F" w:rsidRPr="00901D9F" w:rsidRDefault="00901D9F" w:rsidP="00901D9F">
            <w:pPr>
              <w:widowControl/>
              <w:ind w:right="420"/>
              <w:jc w:val="left"/>
              <w:rPr>
                <w:rFonts w:ascii="Calibri" w:hAnsi="Calibri" w:cs="Calibri"/>
                <w:color w:val="000000" w:themeColor="text1"/>
                <w:kern w:val="0"/>
                <w:szCs w:val="21"/>
              </w:rPr>
            </w:pPr>
            <w:r w:rsidRPr="00901D9F">
              <w:rPr>
                <w:rFonts w:ascii="Calibri" w:hAnsi="Calibri" w:cs="Calibri"/>
                <w:color w:val="000000" w:themeColor="text1"/>
                <w:kern w:val="0"/>
                <w:szCs w:val="21"/>
              </w:rPr>
              <w:t> </w:t>
            </w:r>
          </w:p>
          <w:p w:rsidR="00901D9F" w:rsidRPr="00901D9F" w:rsidRDefault="00901D9F" w:rsidP="00901D9F">
            <w:pPr>
              <w:widowControl/>
              <w:jc w:val="right"/>
              <w:rPr>
                <w:rFonts w:ascii="Calibri" w:hAnsi="Calibri" w:cs="Calibri"/>
                <w:color w:val="000000" w:themeColor="text1"/>
                <w:kern w:val="0"/>
                <w:szCs w:val="21"/>
              </w:rPr>
            </w:pPr>
            <w:r w:rsidRPr="00901D9F">
              <w:rPr>
                <w:rFonts w:ascii="Calibri" w:hAnsi="Calibri" w:cs="Calibri"/>
                <w:color w:val="000000" w:themeColor="text1"/>
                <w:kern w:val="0"/>
                <w:szCs w:val="21"/>
              </w:rPr>
              <w:t> </w:t>
            </w:r>
          </w:p>
          <w:p w:rsidR="00901D9F" w:rsidRPr="00901D9F" w:rsidRDefault="00901D9F" w:rsidP="00901D9F">
            <w:pPr>
              <w:widowControl/>
              <w:jc w:val="right"/>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 盖 章 ） </w:t>
            </w:r>
          </w:p>
          <w:p w:rsidR="00901D9F" w:rsidRPr="00901D9F" w:rsidRDefault="00901D9F" w:rsidP="00901D9F">
            <w:pPr>
              <w:widowControl/>
              <w:jc w:val="right"/>
              <w:rPr>
                <w:rFonts w:ascii="Calibri" w:hAnsi="Calibri" w:cs="Calibri"/>
                <w:color w:val="000000" w:themeColor="text1"/>
                <w:kern w:val="0"/>
                <w:szCs w:val="21"/>
              </w:rPr>
            </w:pPr>
            <w:r w:rsidRPr="00901D9F">
              <w:rPr>
                <w:rFonts w:ascii="Calibri" w:hAnsi="Calibri" w:cs="Calibri"/>
                <w:color w:val="000000" w:themeColor="text1"/>
                <w:kern w:val="0"/>
                <w:szCs w:val="21"/>
              </w:rPr>
              <w:t> </w:t>
            </w:r>
          </w:p>
          <w:p w:rsidR="00901D9F" w:rsidRPr="00901D9F" w:rsidRDefault="00901D9F" w:rsidP="00901D9F">
            <w:pPr>
              <w:widowControl/>
              <w:jc w:val="right"/>
              <w:rPr>
                <w:rFonts w:ascii="Calibri" w:hAnsi="Calibri" w:cs="Calibri"/>
                <w:color w:val="000000" w:themeColor="text1"/>
                <w:kern w:val="0"/>
                <w:szCs w:val="21"/>
              </w:rPr>
            </w:pPr>
            <w:r w:rsidRPr="00901D9F">
              <w:rPr>
                <w:rFonts w:ascii="宋体" w:eastAsia="宋体" w:hAnsi="宋体" w:cs="宋体" w:hint="eastAsia"/>
                <w:b/>
                <w:bCs/>
                <w:color w:val="000000" w:themeColor="text1"/>
                <w:kern w:val="0"/>
                <w:sz w:val="24"/>
                <w:szCs w:val="24"/>
              </w:rPr>
              <w:t>年  月  日  </w:t>
            </w:r>
          </w:p>
        </w:tc>
      </w:tr>
    </w:tbl>
    <w:p w:rsidR="00901D9F" w:rsidRPr="00901D9F" w:rsidRDefault="00901D9F" w:rsidP="00901D9F">
      <w:pPr>
        <w:rPr>
          <w:color w:val="000000" w:themeColor="text1"/>
          <w:szCs w:val="24"/>
        </w:rPr>
      </w:pPr>
    </w:p>
    <w:p w:rsidR="00901D9F" w:rsidRPr="00901D9F" w:rsidRDefault="00901D9F" w:rsidP="00901D9F">
      <w:pPr>
        <w:rPr>
          <w:szCs w:val="24"/>
        </w:rPr>
      </w:pPr>
    </w:p>
    <w:p w:rsidR="00DE5588" w:rsidRDefault="00DE5588"/>
    <w:sectPr w:rsidR="00DE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54"/>
    <w:rsid w:val="00901D9F"/>
    <w:rsid w:val="00943F54"/>
    <w:rsid w:val="00DE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1909</Characters>
  <Application>Microsoft Office Word</Application>
  <DocSecurity>0</DocSecurity>
  <Lines>15</Lines>
  <Paragraphs>4</Paragraphs>
  <ScaleCrop>false</ScaleCrop>
  <Company>Lenovo</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2024-02-07T01:33:00Z</dcterms:created>
  <dcterms:modified xsi:type="dcterms:W3CDTF">2024-02-07T01:33:00Z</dcterms:modified>
</cp:coreProperties>
</file>